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B7" w:rsidRPr="00967592" w:rsidRDefault="00B67183" w:rsidP="00FB6320">
      <w:pPr>
        <w:pStyle w:val="Heading1"/>
        <w:jc w:val="center"/>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DIFFERENT VERSIONS OF THE ‘SAME’ TASK: </w:t>
      </w:r>
      <w:r w:rsidR="009D615F" w:rsidRPr="00967592">
        <w:rPr>
          <w:rFonts w:ascii="Times New Roman" w:hAnsi="Times New Roman" w:cs="Times New Roman"/>
          <w:sz w:val="24"/>
          <w:szCs w:val="24"/>
          <w:lang w:val="en-GB"/>
        </w:rPr>
        <w:t>CONTI</w:t>
      </w:r>
      <w:r w:rsidRPr="00967592">
        <w:rPr>
          <w:rFonts w:ascii="Times New Roman" w:hAnsi="Times New Roman" w:cs="Times New Roman"/>
          <w:sz w:val="24"/>
          <w:szCs w:val="24"/>
          <w:lang w:val="en-GB"/>
        </w:rPr>
        <w:t>NUOUS BEING AND DISCRETE ACTION</w:t>
      </w:r>
      <w:r w:rsidR="009D615F" w:rsidRPr="00967592">
        <w:rPr>
          <w:rFonts w:ascii="Times New Roman" w:hAnsi="Times New Roman" w:cs="Times New Roman"/>
          <w:sz w:val="24"/>
          <w:szCs w:val="24"/>
          <w:lang w:val="en-GB"/>
        </w:rPr>
        <w:t xml:space="preserve"> </w:t>
      </w:r>
      <w:r w:rsidR="000F2E81">
        <w:rPr>
          <w:rFonts w:ascii="Times New Roman" w:hAnsi="Times New Roman" w:cs="Times New Roman"/>
          <w:sz w:val="24"/>
          <w:szCs w:val="24"/>
          <w:lang w:val="en-GB"/>
        </w:rPr>
        <w:t>(paper presented at MADIF 2008)</w:t>
      </w:r>
    </w:p>
    <w:p w:rsidR="009D615F" w:rsidRPr="00967592" w:rsidRDefault="002F38B7" w:rsidP="002F38B7">
      <w:pPr>
        <w:pStyle w:val="Heading2"/>
        <w:spacing w:before="120" w:after="0" w:line="360" w:lineRule="auto"/>
        <w:jc w:val="center"/>
        <w:rPr>
          <w:rFonts w:ascii="Times New Roman" w:hAnsi="Times New Roman" w:cs="Times New Roman"/>
          <w:i w:val="0"/>
          <w:sz w:val="24"/>
          <w:szCs w:val="24"/>
          <w:lang w:val="en-GB"/>
        </w:rPr>
      </w:pPr>
      <w:r w:rsidRPr="00967592">
        <w:rPr>
          <w:rFonts w:ascii="Times New Roman" w:hAnsi="Times New Roman" w:cs="Times New Roman"/>
          <w:i w:val="0"/>
          <w:sz w:val="24"/>
          <w:szCs w:val="24"/>
          <w:lang w:val="en-GB"/>
        </w:rPr>
        <w:t>Anne Watson</w:t>
      </w:r>
    </w:p>
    <w:p w:rsidR="002F38B7" w:rsidRPr="00967592" w:rsidRDefault="002F38B7" w:rsidP="00FB6320">
      <w:pPr>
        <w:jc w:val="center"/>
        <w:rPr>
          <w:rFonts w:ascii="Times New Roman" w:hAnsi="Times New Roman" w:cs="Times New Roman"/>
          <w:sz w:val="24"/>
          <w:szCs w:val="24"/>
          <w:lang w:val="en-GB"/>
        </w:rPr>
      </w:pPr>
      <w:smartTag w:uri="urn:schemas-microsoft-com:office:smarttags" w:element="place">
        <w:smartTag w:uri="urn:schemas-microsoft-com:office:smarttags" w:element="PlaceType">
          <w:r w:rsidRPr="00967592">
            <w:rPr>
              <w:rFonts w:ascii="Times New Roman" w:hAnsi="Times New Roman" w:cs="Times New Roman"/>
              <w:sz w:val="24"/>
              <w:szCs w:val="24"/>
              <w:lang w:val="en-GB"/>
            </w:rPr>
            <w:t>University</w:t>
          </w:r>
        </w:smartTag>
        <w:r w:rsidRPr="00967592">
          <w:rPr>
            <w:rFonts w:ascii="Times New Roman" w:hAnsi="Times New Roman" w:cs="Times New Roman"/>
            <w:sz w:val="24"/>
            <w:szCs w:val="24"/>
            <w:lang w:val="en-GB"/>
          </w:rPr>
          <w:t xml:space="preserve"> of </w:t>
        </w:r>
        <w:smartTag w:uri="urn:schemas-microsoft-com:office:smarttags" w:element="PlaceName">
          <w:r w:rsidRPr="00967592">
            <w:rPr>
              <w:rFonts w:ascii="Times New Roman" w:hAnsi="Times New Roman" w:cs="Times New Roman"/>
              <w:sz w:val="24"/>
              <w:szCs w:val="24"/>
              <w:lang w:val="en-GB"/>
            </w:rPr>
            <w:t>Oxford</w:t>
          </w:r>
        </w:smartTag>
      </w:smartTag>
    </w:p>
    <w:p w:rsidR="002F38B7" w:rsidRPr="00967592" w:rsidRDefault="002F38B7" w:rsidP="002F38B7">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t>Introduction</w:t>
      </w:r>
    </w:p>
    <w:p w:rsidR="00630323" w:rsidRDefault="00630323" w:rsidP="002F38B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this paper I probe subtle differences in lessons which are based around similar tasks, by ana</w:t>
      </w:r>
      <w:r w:rsidR="00331C20">
        <w:rPr>
          <w:rFonts w:ascii="Times New Roman" w:hAnsi="Times New Roman" w:cs="Times New Roman"/>
          <w:sz w:val="24"/>
          <w:szCs w:val="24"/>
          <w:lang w:val="en-GB"/>
        </w:rPr>
        <w:t>lysing t</w:t>
      </w:r>
      <w:r>
        <w:rPr>
          <w:rFonts w:ascii="Times New Roman" w:hAnsi="Times New Roman" w:cs="Times New Roman"/>
          <w:sz w:val="24"/>
          <w:szCs w:val="24"/>
          <w:lang w:val="en-GB"/>
        </w:rPr>
        <w:t xml:space="preserve">he experiences they afford students, and </w:t>
      </w:r>
      <w:r w:rsidR="00331C20">
        <w:rPr>
          <w:rFonts w:ascii="Times New Roman" w:hAnsi="Times New Roman" w:cs="Times New Roman"/>
          <w:sz w:val="24"/>
          <w:szCs w:val="24"/>
          <w:lang w:val="en-GB"/>
        </w:rPr>
        <w:t xml:space="preserve">identifying </w:t>
      </w:r>
      <w:r>
        <w:rPr>
          <w:rFonts w:ascii="Times New Roman" w:hAnsi="Times New Roman" w:cs="Times New Roman"/>
          <w:sz w:val="24"/>
          <w:szCs w:val="24"/>
          <w:lang w:val="en-GB"/>
        </w:rPr>
        <w:t xml:space="preserve">what is available for students to construct from these experiences. </w:t>
      </w:r>
      <w:r w:rsidR="00EB03A4">
        <w:rPr>
          <w:rFonts w:ascii="Times New Roman" w:hAnsi="Times New Roman" w:cs="Times New Roman"/>
          <w:sz w:val="24"/>
          <w:szCs w:val="24"/>
          <w:lang w:val="en-GB"/>
        </w:rPr>
        <w:t>This provides a new lens for looking at mathematical activity in lessons, and at how teachers’ own mathematical senses act out to afford different mathematical experiences for learners.</w:t>
      </w:r>
    </w:p>
    <w:p w:rsidR="00972C00" w:rsidRPr="00967592" w:rsidRDefault="004448F6" w:rsidP="002F38B7">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There is a resurgence of interest</w:t>
      </w:r>
      <w:r w:rsidR="002F38B7" w:rsidRPr="00967592">
        <w:rPr>
          <w:rFonts w:ascii="Times New Roman" w:hAnsi="Times New Roman" w:cs="Times New Roman"/>
          <w:sz w:val="24"/>
          <w:szCs w:val="24"/>
          <w:lang w:val="en-GB"/>
        </w:rPr>
        <w:t xml:space="preserve"> in task design as an important factor in mat</w:t>
      </w:r>
      <w:r w:rsidR="00654F9E" w:rsidRPr="00967592">
        <w:rPr>
          <w:rFonts w:ascii="Times New Roman" w:hAnsi="Times New Roman" w:cs="Times New Roman"/>
          <w:sz w:val="24"/>
          <w:szCs w:val="24"/>
          <w:lang w:val="en-GB"/>
        </w:rPr>
        <w:t>hematics teaching (</w:t>
      </w:r>
      <w:proofErr w:type="spellStart"/>
      <w:r w:rsidR="00654F9E" w:rsidRPr="00967592">
        <w:rPr>
          <w:rFonts w:ascii="Times New Roman" w:hAnsi="Times New Roman" w:cs="Times New Roman"/>
          <w:sz w:val="24"/>
          <w:szCs w:val="24"/>
          <w:lang w:val="en-GB"/>
        </w:rPr>
        <w:t>Sierpinska</w:t>
      </w:r>
      <w:proofErr w:type="spellEnd"/>
      <w:r w:rsidR="00DA49FB">
        <w:rPr>
          <w:rFonts w:ascii="Times New Roman" w:hAnsi="Times New Roman" w:cs="Times New Roman"/>
          <w:sz w:val="24"/>
          <w:szCs w:val="24"/>
          <w:lang w:val="en-GB"/>
        </w:rPr>
        <w:t>,</w:t>
      </w:r>
      <w:r w:rsidR="00654F9E" w:rsidRPr="00967592">
        <w:rPr>
          <w:rFonts w:ascii="Times New Roman" w:hAnsi="Times New Roman" w:cs="Times New Roman"/>
          <w:sz w:val="24"/>
          <w:szCs w:val="24"/>
          <w:lang w:val="en-GB"/>
        </w:rPr>
        <w:t xml:space="preserve"> 2004</w:t>
      </w:r>
      <w:r>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 xml:space="preserve">Burkhardt and </w:t>
      </w:r>
      <w:proofErr w:type="spellStart"/>
      <w:r w:rsidRPr="00967592">
        <w:rPr>
          <w:rFonts w:ascii="Times New Roman" w:hAnsi="Times New Roman" w:cs="Times New Roman"/>
          <w:sz w:val="24"/>
          <w:szCs w:val="24"/>
          <w:lang w:val="en-GB"/>
        </w:rPr>
        <w:t>Schoenfeld</w:t>
      </w:r>
      <w:proofErr w:type="spellEnd"/>
      <w:r w:rsidR="00DA49FB">
        <w:rPr>
          <w:rFonts w:ascii="Times New Roman" w:hAnsi="Times New Roman" w:cs="Times New Roman"/>
          <w:sz w:val="24"/>
          <w:szCs w:val="24"/>
          <w:lang w:val="en-GB"/>
        </w:rPr>
        <w:t>,</w:t>
      </w:r>
      <w:r w:rsidRPr="00967592">
        <w:rPr>
          <w:rFonts w:ascii="Times New Roman" w:hAnsi="Times New Roman" w:cs="Times New Roman"/>
          <w:sz w:val="24"/>
          <w:szCs w:val="24"/>
          <w:lang w:val="en-GB"/>
        </w:rPr>
        <w:t xml:space="preserve"> 2003</w:t>
      </w:r>
      <w:r w:rsidR="002F38B7" w:rsidRPr="00967592">
        <w:rPr>
          <w:rFonts w:ascii="Times New Roman" w:hAnsi="Times New Roman" w:cs="Times New Roman"/>
          <w:sz w:val="24"/>
          <w:szCs w:val="24"/>
          <w:lang w:val="en-GB"/>
        </w:rPr>
        <w:t>). An international society has been foun</w:t>
      </w:r>
      <w:r>
        <w:rPr>
          <w:rFonts w:ascii="Times New Roman" w:hAnsi="Times New Roman" w:cs="Times New Roman"/>
          <w:sz w:val="24"/>
          <w:szCs w:val="24"/>
          <w:lang w:val="en-GB"/>
        </w:rPr>
        <w:t xml:space="preserve">ded </w:t>
      </w:r>
      <w:r w:rsidR="002F38B7" w:rsidRPr="00967592">
        <w:rPr>
          <w:rFonts w:ascii="Times New Roman" w:hAnsi="Times New Roman" w:cs="Times New Roman"/>
          <w:sz w:val="24"/>
          <w:szCs w:val="24"/>
          <w:lang w:val="en-GB"/>
        </w:rPr>
        <w:t xml:space="preserve">and a </w:t>
      </w:r>
      <w:r w:rsidR="00972C00" w:rsidRPr="00967592">
        <w:rPr>
          <w:rFonts w:ascii="Times New Roman" w:hAnsi="Times New Roman" w:cs="Times New Roman"/>
          <w:sz w:val="24"/>
          <w:szCs w:val="24"/>
          <w:lang w:val="en-GB"/>
        </w:rPr>
        <w:t>number of publications show that design has to be taken seriously not only for extended, multi-stage, authentic and assessment tasks</w:t>
      </w:r>
      <w:r>
        <w:rPr>
          <w:rFonts w:ascii="Times New Roman" w:hAnsi="Times New Roman" w:cs="Times New Roman"/>
          <w:sz w:val="24"/>
          <w:szCs w:val="24"/>
          <w:lang w:val="en-GB"/>
        </w:rPr>
        <w:t xml:space="preserve"> (as described by, for example,</w:t>
      </w:r>
      <w:r w:rsidR="00654F9E" w:rsidRPr="00967592">
        <w:rPr>
          <w:rFonts w:ascii="Times New Roman" w:hAnsi="Times New Roman" w:cs="Times New Roman"/>
          <w:sz w:val="24"/>
          <w:szCs w:val="24"/>
          <w:lang w:val="en-GB"/>
        </w:rPr>
        <w:t xml:space="preserve"> </w:t>
      </w:r>
      <w:proofErr w:type="spellStart"/>
      <w:r w:rsidR="00654F9E" w:rsidRPr="00967592">
        <w:rPr>
          <w:rFonts w:ascii="Times New Roman" w:hAnsi="Times New Roman" w:cs="Times New Roman"/>
          <w:sz w:val="24"/>
          <w:szCs w:val="24"/>
          <w:lang w:val="en-GB"/>
        </w:rPr>
        <w:t>Wi</w:t>
      </w:r>
      <w:r w:rsidR="0093498E" w:rsidRPr="00967592">
        <w:rPr>
          <w:rFonts w:ascii="Times New Roman" w:hAnsi="Times New Roman" w:cs="Times New Roman"/>
          <w:sz w:val="24"/>
          <w:szCs w:val="24"/>
          <w:lang w:val="en-GB"/>
        </w:rPr>
        <w:t>ttman</w:t>
      </w:r>
      <w:proofErr w:type="spellEnd"/>
      <w:r w:rsidR="00654F9E" w:rsidRPr="00967592">
        <w:rPr>
          <w:rFonts w:ascii="Times New Roman" w:hAnsi="Times New Roman" w:cs="Times New Roman"/>
          <w:sz w:val="24"/>
          <w:szCs w:val="24"/>
          <w:lang w:val="en-GB"/>
        </w:rPr>
        <w:t xml:space="preserve"> 1998</w:t>
      </w:r>
      <w:r w:rsidR="0093498E" w:rsidRPr="00967592">
        <w:rPr>
          <w:rFonts w:ascii="Times New Roman" w:hAnsi="Times New Roman" w:cs="Times New Roman"/>
          <w:sz w:val="24"/>
          <w:szCs w:val="24"/>
          <w:lang w:val="en-GB"/>
        </w:rPr>
        <w:t xml:space="preserve"> )</w:t>
      </w:r>
      <w:r w:rsidR="00972C00" w:rsidRPr="00967592">
        <w:rPr>
          <w:rFonts w:ascii="Times New Roman" w:hAnsi="Times New Roman" w:cs="Times New Roman"/>
          <w:sz w:val="24"/>
          <w:szCs w:val="24"/>
          <w:lang w:val="en-GB"/>
        </w:rPr>
        <w:t>, but also for the very ordinary things we ask students to do day-to-day in classrooms (among others: Swan</w:t>
      </w:r>
      <w:r w:rsidR="00DA49FB">
        <w:rPr>
          <w:rFonts w:ascii="Times New Roman" w:hAnsi="Times New Roman" w:cs="Times New Roman"/>
          <w:sz w:val="24"/>
          <w:szCs w:val="24"/>
          <w:lang w:val="en-GB"/>
        </w:rPr>
        <w:t>,</w:t>
      </w:r>
      <w:r w:rsidR="00654F9E" w:rsidRPr="00967592">
        <w:rPr>
          <w:rFonts w:ascii="Times New Roman" w:hAnsi="Times New Roman" w:cs="Times New Roman"/>
          <w:sz w:val="24"/>
          <w:szCs w:val="24"/>
          <w:lang w:val="en-GB"/>
        </w:rPr>
        <w:t xml:space="preserve"> 2006</w:t>
      </w:r>
      <w:r w:rsidR="00972C00" w:rsidRPr="00967592">
        <w:rPr>
          <w:rFonts w:ascii="Times New Roman" w:hAnsi="Times New Roman" w:cs="Times New Roman"/>
          <w:sz w:val="24"/>
          <w:szCs w:val="24"/>
          <w:lang w:val="en-GB"/>
        </w:rPr>
        <w:t xml:space="preserve"> ; Mason and </w:t>
      </w:r>
      <w:r w:rsidR="0093498E" w:rsidRPr="00967592">
        <w:rPr>
          <w:rFonts w:ascii="Times New Roman" w:hAnsi="Times New Roman" w:cs="Times New Roman"/>
          <w:sz w:val="24"/>
          <w:szCs w:val="24"/>
          <w:lang w:val="en-GB"/>
        </w:rPr>
        <w:t>Johnston-Wilder</w:t>
      </w:r>
      <w:r w:rsidR="00DA49FB">
        <w:rPr>
          <w:rFonts w:ascii="Times New Roman" w:hAnsi="Times New Roman" w:cs="Times New Roman"/>
          <w:sz w:val="24"/>
          <w:szCs w:val="24"/>
          <w:lang w:val="en-GB"/>
        </w:rPr>
        <w:t>,</w:t>
      </w:r>
      <w:r w:rsidR="00654F9E" w:rsidRPr="00967592">
        <w:rPr>
          <w:rFonts w:ascii="Times New Roman" w:hAnsi="Times New Roman" w:cs="Times New Roman"/>
          <w:sz w:val="24"/>
          <w:szCs w:val="24"/>
          <w:lang w:val="en-GB"/>
        </w:rPr>
        <w:t xml:space="preserve"> 2006</w:t>
      </w:r>
      <w:r w:rsidR="0093498E" w:rsidRPr="0096759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93498E" w:rsidRPr="00967592">
        <w:rPr>
          <w:rFonts w:ascii="Times New Roman" w:hAnsi="Times New Roman" w:cs="Times New Roman"/>
          <w:sz w:val="24"/>
          <w:szCs w:val="24"/>
          <w:lang w:val="en-GB"/>
        </w:rPr>
        <w:t>Karp</w:t>
      </w:r>
      <w:r w:rsidR="00DA49FB">
        <w:rPr>
          <w:rFonts w:ascii="Times New Roman" w:hAnsi="Times New Roman" w:cs="Times New Roman"/>
          <w:sz w:val="24"/>
          <w:szCs w:val="24"/>
          <w:lang w:val="en-GB"/>
        </w:rPr>
        <w:t>, 2007</w:t>
      </w:r>
      <w:r w:rsidR="0093498E" w:rsidRPr="00967592">
        <w:rPr>
          <w:rFonts w:ascii="Times New Roman" w:hAnsi="Times New Roman" w:cs="Times New Roman"/>
          <w:sz w:val="24"/>
          <w:szCs w:val="24"/>
          <w:lang w:val="en-GB"/>
        </w:rPr>
        <w:t xml:space="preserve"> </w:t>
      </w:r>
      <w:r w:rsidR="00972C00" w:rsidRPr="00967592">
        <w:rPr>
          <w:rFonts w:ascii="Times New Roman" w:hAnsi="Times New Roman" w:cs="Times New Roman"/>
          <w:sz w:val="24"/>
          <w:szCs w:val="24"/>
          <w:lang w:val="en-GB"/>
        </w:rPr>
        <w:t>). Runesson</w:t>
      </w:r>
      <w:r w:rsidR="00654F9E" w:rsidRPr="00967592">
        <w:rPr>
          <w:rFonts w:ascii="Times New Roman" w:hAnsi="Times New Roman" w:cs="Times New Roman"/>
          <w:sz w:val="24"/>
          <w:szCs w:val="24"/>
          <w:lang w:val="en-GB"/>
        </w:rPr>
        <w:t xml:space="preserve"> (1999)</w:t>
      </w:r>
      <w:r w:rsidR="00972C00" w:rsidRPr="00967592">
        <w:rPr>
          <w:rFonts w:ascii="Times New Roman" w:hAnsi="Times New Roman" w:cs="Times New Roman"/>
          <w:sz w:val="24"/>
          <w:szCs w:val="24"/>
          <w:lang w:val="en-GB"/>
        </w:rPr>
        <w:t xml:space="preserve"> </w:t>
      </w:r>
      <w:proofErr w:type="spellStart"/>
      <w:r w:rsidR="00972C00" w:rsidRPr="00967592">
        <w:rPr>
          <w:rFonts w:ascii="Times New Roman" w:hAnsi="Times New Roman" w:cs="Times New Roman"/>
          <w:sz w:val="24"/>
          <w:szCs w:val="24"/>
          <w:lang w:val="en-GB"/>
        </w:rPr>
        <w:t>Emanuelsson</w:t>
      </w:r>
      <w:proofErr w:type="spellEnd"/>
      <w:r w:rsidR="00654F9E" w:rsidRPr="00967592">
        <w:rPr>
          <w:rFonts w:ascii="Times New Roman" w:hAnsi="Times New Roman" w:cs="Times New Roman"/>
          <w:sz w:val="24"/>
          <w:szCs w:val="24"/>
          <w:lang w:val="en-GB"/>
        </w:rPr>
        <w:t xml:space="preserve"> (2001)</w:t>
      </w:r>
      <w:r w:rsidR="00972C00" w:rsidRPr="00967592">
        <w:rPr>
          <w:rFonts w:ascii="Times New Roman" w:hAnsi="Times New Roman" w:cs="Times New Roman"/>
          <w:sz w:val="24"/>
          <w:szCs w:val="24"/>
          <w:lang w:val="en-GB"/>
        </w:rPr>
        <w:t xml:space="preserve"> and their</w:t>
      </w:r>
      <w:r>
        <w:rPr>
          <w:rFonts w:ascii="Times New Roman" w:hAnsi="Times New Roman" w:cs="Times New Roman"/>
          <w:sz w:val="24"/>
          <w:szCs w:val="24"/>
          <w:lang w:val="en-GB"/>
        </w:rPr>
        <w:t xml:space="preserve"> colleagues offer </w:t>
      </w:r>
      <w:r w:rsidR="00972C00" w:rsidRPr="00967592">
        <w:rPr>
          <w:rFonts w:ascii="Times New Roman" w:hAnsi="Times New Roman" w:cs="Times New Roman"/>
          <w:sz w:val="24"/>
          <w:szCs w:val="24"/>
          <w:lang w:val="en-GB"/>
        </w:rPr>
        <w:t>mathematical variation as a critic</w:t>
      </w:r>
      <w:r w:rsidR="00654F9E" w:rsidRPr="00967592">
        <w:rPr>
          <w:rFonts w:ascii="Times New Roman" w:hAnsi="Times New Roman" w:cs="Times New Roman"/>
          <w:sz w:val="24"/>
          <w:szCs w:val="24"/>
          <w:lang w:val="en-GB"/>
        </w:rPr>
        <w:t xml:space="preserve">al feature of </w:t>
      </w:r>
      <w:r>
        <w:rPr>
          <w:rFonts w:ascii="Times New Roman" w:hAnsi="Times New Roman" w:cs="Times New Roman"/>
          <w:sz w:val="24"/>
          <w:szCs w:val="24"/>
          <w:lang w:val="en-GB"/>
        </w:rPr>
        <w:t xml:space="preserve">the process of </w:t>
      </w:r>
      <w:r w:rsidR="00654F9E" w:rsidRPr="00967592">
        <w:rPr>
          <w:rFonts w:ascii="Times New Roman" w:hAnsi="Times New Roman" w:cs="Times New Roman"/>
          <w:sz w:val="24"/>
          <w:szCs w:val="24"/>
          <w:lang w:val="en-GB"/>
        </w:rPr>
        <w:t>task design</w:t>
      </w:r>
      <w:r w:rsidR="00972C00" w:rsidRPr="00967592">
        <w:rPr>
          <w:rFonts w:ascii="Times New Roman" w:hAnsi="Times New Roman" w:cs="Times New Roman"/>
          <w:sz w:val="24"/>
          <w:szCs w:val="24"/>
          <w:lang w:val="en-GB"/>
        </w:rPr>
        <w:t xml:space="preserve"> while others </w:t>
      </w:r>
      <w:r>
        <w:rPr>
          <w:rFonts w:ascii="Times New Roman" w:hAnsi="Times New Roman" w:cs="Times New Roman"/>
          <w:sz w:val="24"/>
          <w:szCs w:val="24"/>
          <w:lang w:val="en-GB"/>
        </w:rPr>
        <w:t xml:space="preserve">(e.g. Watson 2004) </w:t>
      </w:r>
      <w:r w:rsidR="00972C00" w:rsidRPr="00967592">
        <w:rPr>
          <w:rFonts w:ascii="Times New Roman" w:hAnsi="Times New Roman" w:cs="Times New Roman"/>
          <w:sz w:val="24"/>
          <w:szCs w:val="24"/>
          <w:lang w:val="en-GB"/>
        </w:rPr>
        <w:t>focus on the affordances of t</w:t>
      </w:r>
      <w:r w:rsidR="00C628B6" w:rsidRPr="00967592">
        <w:rPr>
          <w:rFonts w:ascii="Times New Roman" w:hAnsi="Times New Roman" w:cs="Times New Roman"/>
          <w:sz w:val="24"/>
          <w:szCs w:val="24"/>
          <w:lang w:val="en-GB"/>
        </w:rPr>
        <w:t>asks as structures for</w:t>
      </w:r>
      <w:r>
        <w:rPr>
          <w:rFonts w:ascii="Times New Roman" w:hAnsi="Times New Roman" w:cs="Times New Roman"/>
          <w:sz w:val="24"/>
          <w:szCs w:val="24"/>
          <w:lang w:val="en-GB"/>
        </w:rPr>
        <w:t xml:space="preserve"> potential</w:t>
      </w:r>
      <w:r w:rsidR="00972C00" w:rsidRPr="00967592">
        <w:rPr>
          <w:rFonts w:ascii="Times New Roman" w:hAnsi="Times New Roman" w:cs="Times New Roman"/>
          <w:sz w:val="24"/>
          <w:szCs w:val="24"/>
          <w:lang w:val="en-GB"/>
        </w:rPr>
        <w:t xml:space="preserve"> mathematical activity.</w:t>
      </w:r>
      <w:r>
        <w:rPr>
          <w:rFonts w:ascii="Times New Roman" w:hAnsi="Times New Roman" w:cs="Times New Roman"/>
          <w:sz w:val="24"/>
          <w:szCs w:val="24"/>
          <w:lang w:val="en-GB"/>
        </w:rPr>
        <w:t xml:space="preserve"> Variation informs us about affordances.</w:t>
      </w:r>
    </w:p>
    <w:p w:rsidR="00025950" w:rsidRPr="00967592" w:rsidRDefault="00C628B6" w:rsidP="002F38B7">
      <w:pPr>
        <w:spacing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However, </w:t>
      </w:r>
      <w:r w:rsidR="00025950" w:rsidRPr="00967592">
        <w:rPr>
          <w:rFonts w:ascii="Times New Roman" w:hAnsi="Times New Roman" w:cs="Times New Roman"/>
          <w:sz w:val="24"/>
          <w:szCs w:val="24"/>
          <w:lang w:val="en-GB"/>
        </w:rPr>
        <w:t xml:space="preserve">over-reliance on task </w:t>
      </w:r>
      <w:r w:rsidR="00A12572" w:rsidRPr="00967592">
        <w:rPr>
          <w:rFonts w:ascii="Times New Roman" w:hAnsi="Times New Roman" w:cs="Times New Roman"/>
          <w:sz w:val="24"/>
          <w:szCs w:val="24"/>
          <w:lang w:val="en-GB"/>
        </w:rPr>
        <w:t>design as a</w:t>
      </w:r>
      <w:r w:rsidR="00025950" w:rsidRPr="00967592">
        <w:rPr>
          <w:rFonts w:ascii="Times New Roman" w:hAnsi="Times New Roman" w:cs="Times New Roman"/>
          <w:sz w:val="24"/>
          <w:szCs w:val="24"/>
          <w:lang w:val="en-GB"/>
        </w:rPr>
        <w:t xml:space="preserve"> vehicle for impr</w:t>
      </w:r>
      <w:r w:rsidR="002F38B7" w:rsidRPr="00967592">
        <w:rPr>
          <w:rFonts w:ascii="Times New Roman" w:hAnsi="Times New Roman" w:cs="Times New Roman"/>
          <w:sz w:val="24"/>
          <w:szCs w:val="24"/>
          <w:lang w:val="en-GB"/>
        </w:rPr>
        <w:t>ovement in mathematics teaching</w:t>
      </w:r>
      <w:r w:rsidR="00025950" w:rsidRPr="00967592">
        <w:rPr>
          <w:rFonts w:ascii="Times New Roman" w:hAnsi="Times New Roman" w:cs="Times New Roman"/>
          <w:sz w:val="24"/>
          <w:szCs w:val="24"/>
          <w:lang w:val="en-GB"/>
        </w:rPr>
        <w:t xml:space="preserve"> is known to be a flawed approach on its own.  There is a steady histo</w:t>
      </w:r>
      <w:r w:rsidR="003C1528" w:rsidRPr="00967592">
        <w:rPr>
          <w:rFonts w:ascii="Times New Roman" w:hAnsi="Times New Roman" w:cs="Times New Roman"/>
          <w:sz w:val="24"/>
          <w:szCs w:val="24"/>
          <w:lang w:val="en-GB"/>
        </w:rPr>
        <w:t>ry of research which shows how the</w:t>
      </w:r>
      <w:r w:rsidR="0093498E" w:rsidRPr="00967592">
        <w:rPr>
          <w:rFonts w:ascii="Times New Roman" w:hAnsi="Times New Roman" w:cs="Times New Roman"/>
          <w:sz w:val="24"/>
          <w:szCs w:val="24"/>
          <w:lang w:val="en-GB"/>
        </w:rPr>
        <w:t xml:space="preserve"> designer</w:t>
      </w:r>
      <w:r w:rsidR="003C1528" w:rsidRPr="00967592">
        <w:rPr>
          <w:rFonts w:ascii="Times New Roman" w:hAnsi="Times New Roman" w:cs="Times New Roman"/>
          <w:sz w:val="24"/>
          <w:szCs w:val="24"/>
          <w:lang w:val="en-GB"/>
        </w:rPr>
        <w:t>s</w:t>
      </w:r>
      <w:r w:rsidR="0093498E" w:rsidRPr="00967592">
        <w:rPr>
          <w:rFonts w:ascii="Times New Roman" w:hAnsi="Times New Roman" w:cs="Times New Roman"/>
          <w:sz w:val="24"/>
          <w:szCs w:val="24"/>
          <w:lang w:val="en-GB"/>
        </w:rPr>
        <w:t>’</w:t>
      </w:r>
      <w:r w:rsidR="003C1528" w:rsidRPr="00967592">
        <w:rPr>
          <w:rFonts w:ascii="Times New Roman" w:hAnsi="Times New Roman" w:cs="Times New Roman"/>
          <w:sz w:val="24"/>
          <w:szCs w:val="24"/>
          <w:lang w:val="en-GB"/>
        </w:rPr>
        <w:t xml:space="preserve"> intentions become altered as their tasks are tak</w:t>
      </w:r>
      <w:r w:rsidR="002F38B7" w:rsidRPr="00967592">
        <w:rPr>
          <w:rFonts w:ascii="Times New Roman" w:hAnsi="Times New Roman" w:cs="Times New Roman"/>
          <w:sz w:val="24"/>
          <w:szCs w:val="24"/>
          <w:lang w:val="en-GB"/>
        </w:rPr>
        <w:t>en up and used in classrooms when</w:t>
      </w:r>
      <w:r w:rsidR="003C1528" w:rsidRPr="00967592">
        <w:rPr>
          <w:rFonts w:ascii="Times New Roman" w:hAnsi="Times New Roman" w:cs="Times New Roman"/>
          <w:sz w:val="24"/>
          <w:szCs w:val="24"/>
          <w:lang w:val="en-GB"/>
        </w:rPr>
        <w:t xml:space="preserve"> teachers apply their own perspectives and local purposes</w:t>
      </w:r>
      <w:r w:rsidR="00A12572" w:rsidRPr="00967592">
        <w:rPr>
          <w:rFonts w:ascii="Times New Roman" w:hAnsi="Times New Roman" w:cs="Times New Roman"/>
          <w:sz w:val="24"/>
          <w:szCs w:val="24"/>
          <w:lang w:val="en-GB"/>
        </w:rPr>
        <w:t xml:space="preserve"> (Stein, Grover and </w:t>
      </w:r>
      <w:proofErr w:type="spellStart"/>
      <w:r w:rsidR="00A12572" w:rsidRPr="00967592">
        <w:rPr>
          <w:rFonts w:ascii="Times New Roman" w:hAnsi="Times New Roman" w:cs="Times New Roman"/>
          <w:sz w:val="24"/>
          <w:szCs w:val="24"/>
          <w:lang w:val="en-GB"/>
        </w:rPr>
        <w:t>Henningsen</w:t>
      </w:r>
      <w:proofErr w:type="spellEnd"/>
      <w:r w:rsidR="00A12572" w:rsidRPr="00967592">
        <w:rPr>
          <w:rFonts w:ascii="Times New Roman" w:hAnsi="Times New Roman" w:cs="Times New Roman"/>
          <w:sz w:val="24"/>
          <w:szCs w:val="24"/>
          <w:lang w:val="en-GB"/>
        </w:rPr>
        <w:t xml:space="preserve">, </w:t>
      </w:r>
      <w:r w:rsidR="00654F9E" w:rsidRPr="00967592">
        <w:rPr>
          <w:rFonts w:ascii="Times New Roman" w:hAnsi="Times New Roman" w:cs="Times New Roman"/>
          <w:sz w:val="24"/>
          <w:szCs w:val="24"/>
          <w:lang w:val="en-GB"/>
        </w:rPr>
        <w:t>1996</w:t>
      </w:r>
      <w:r w:rsidR="0045291C" w:rsidRPr="00967592">
        <w:rPr>
          <w:rFonts w:ascii="Times New Roman" w:hAnsi="Times New Roman" w:cs="Times New Roman"/>
          <w:sz w:val="24"/>
          <w:szCs w:val="24"/>
          <w:lang w:val="en-GB"/>
        </w:rPr>
        <w:t>; Stylianides</w:t>
      </w:r>
      <w:r w:rsidR="004448F6">
        <w:rPr>
          <w:rFonts w:ascii="Times New Roman" w:hAnsi="Times New Roman" w:cs="Times New Roman"/>
          <w:sz w:val="24"/>
          <w:szCs w:val="24"/>
          <w:lang w:val="en-GB"/>
        </w:rPr>
        <w:t xml:space="preserve"> and Stylianides, forthcoming;</w:t>
      </w:r>
      <w:r w:rsidR="0045291C" w:rsidRPr="00967592">
        <w:rPr>
          <w:rFonts w:ascii="Times New Roman" w:hAnsi="Times New Roman" w:cs="Times New Roman"/>
          <w:sz w:val="24"/>
          <w:szCs w:val="24"/>
          <w:lang w:val="en-GB"/>
        </w:rPr>
        <w:t xml:space="preserve">   </w:t>
      </w:r>
      <w:r w:rsidR="004448F6">
        <w:rPr>
          <w:rFonts w:ascii="Times New Roman" w:hAnsi="Times New Roman" w:cs="Times New Roman"/>
          <w:sz w:val="24"/>
          <w:szCs w:val="24"/>
          <w:lang w:val="en-GB"/>
        </w:rPr>
        <w:t xml:space="preserve">Palhares et al, </w:t>
      </w:r>
      <w:r w:rsidR="00A12572" w:rsidRPr="00967592">
        <w:rPr>
          <w:rFonts w:ascii="Times New Roman" w:hAnsi="Times New Roman" w:cs="Times New Roman"/>
          <w:sz w:val="24"/>
          <w:szCs w:val="24"/>
          <w:lang w:val="en-GB"/>
        </w:rPr>
        <w:t>forthcoming</w:t>
      </w:r>
      <w:r w:rsidR="003C1528" w:rsidRPr="00967592">
        <w:rPr>
          <w:rFonts w:ascii="Times New Roman" w:hAnsi="Times New Roman" w:cs="Times New Roman"/>
          <w:sz w:val="24"/>
          <w:szCs w:val="24"/>
          <w:lang w:val="en-GB"/>
        </w:rPr>
        <w:t>).  Emphasis on the ensuing activity – what is actually done, talked about, learnt, and how this takes place – places pedagogy and culture</w:t>
      </w:r>
      <w:r w:rsidR="002F38B7" w:rsidRPr="00967592">
        <w:rPr>
          <w:rFonts w:ascii="Times New Roman" w:hAnsi="Times New Roman" w:cs="Times New Roman"/>
          <w:sz w:val="24"/>
          <w:szCs w:val="24"/>
          <w:lang w:val="en-GB"/>
        </w:rPr>
        <w:t xml:space="preserve"> alongside tasks</w:t>
      </w:r>
      <w:r w:rsidR="003C1528" w:rsidRPr="00967592">
        <w:rPr>
          <w:rFonts w:ascii="Times New Roman" w:hAnsi="Times New Roman" w:cs="Times New Roman"/>
          <w:sz w:val="24"/>
          <w:szCs w:val="24"/>
          <w:lang w:val="en-GB"/>
        </w:rPr>
        <w:t xml:space="preserve"> as equally important factors in the resultant mathematical qualities of the classroom.</w:t>
      </w:r>
    </w:p>
    <w:p w:rsidR="00C628B6" w:rsidRPr="00967592" w:rsidRDefault="0001009C" w:rsidP="0001009C">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lastRenderedPageBreak/>
        <w:t>Analysing lessons</w:t>
      </w:r>
    </w:p>
    <w:p w:rsidR="00C75850" w:rsidRPr="00967592" w:rsidRDefault="003C1528" w:rsidP="00C628B6">
      <w:pPr>
        <w:spacing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For about ten years I have been develo</w:t>
      </w:r>
      <w:r w:rsidR="00A12572" w:rsidRPr="00967592">
        <w:rPr>
          <w:rFonts w:ascii="Times New Roman" w:hAnsi="Times New Roman" w:cs="Times New Roman"/>
          <w:sz w:val="24"/>
          <w:szCs w:val="24"/>
          <w:lang w:val="en-GB"/>
        </w:rPr>
        <w:t>ping descriptions of the mathematical</w:t>
      </w:r>
      <w:r w:rsidRPr="00967592">
        <w:rPr>
          <w:rFonts w:ascii="Times New Roman" w:hAnsi="Times New Roman" w:cs="Times New Roman"/>
          <w:sz w:val="24"/>
          <w:szCs w:val="24"/>
          <w:lang w:val="en-GB"/>
        </w:rPr>
        <w:t xml:space="preserve"> </w:t>
      </w:r>
      <w:r w:rsidR="00A12572" w:rsidRPr="00967592">
        <w:rPr>
          <w:rFonts w:ascii="Times New Roman" w:hAnsi="Times New Roman" w:cs="Times New Roman"/>
          <w:sz w:val="24"/>
          <w:szCs w:val="24"/>
          <w:lang w:val="en-GB"/>
        </w:rPr>
        <w:t xml:space="preserve">and </w:t>
      </w:r>
      <w:r w:rsidRPr="00967592">
        <w:rPr>
          <w:rFonts w:ascii="Times New Roman" w:hAnsi="Times New Roman" w:cs="Times New Roman"/>
          <w:sz w:val="24"/>
          <w:szCs w:val="24"/>
          <w:lang w:val="en-GB"/>
        </w:rPr>
        <w:t>pedagogical choices which make a difference to learners’ mathematical experiences.  Various attempts to do this have been published, and</w:t>
      </w:r>
      <w:r w:rsidR="00C628B6" w:rsidRPr="00967592">
        <w:rPr>
          <w:rFonts w:ascii="Times New Roman" w:hAnsi="Times New Roman" w:cs="Times New Roman"/>
          <w:sz w:val="24"/>
          <w:szCs w:val="24"/>
          <w:lang w:val="en-GB"/>
        </w:rPr>
        <w:t xml:space="preserve"> yet whenever I think a particular</w:t>
      </w:r>
      <w:r w:rsidRPr="00967592">
        <w:rPr>
          <w:rFonts w:ascii="Times New Roman" w:hAnsi="Times New Roman" w:cs="Times New Roman"/>
          <w:sz w:val="24"/>
          <w:szCs w:val="24"/>
          <w:lang w:val="en-GB"/>
        </w:rPr>
        <w:t xml:space="preserve"> approach is ‘finished’ another arises from my reflections on classroom observations, and my own mathematical activity, alone or with others. </w:t>
      </w:r>
      <w:r w:rsidR="00C628B6" w:rsidRPr="00967592">
        <w:rPr>
          <w:rFonts w:ascii="Times New Roman" w:hAnsi="Times New Roman" w:cs="Times New Roman"/>
          <w:sz w:val="24"/>
          <w:szCs w:val="24"/>
          <w:lang w:val="en-GB"/>
        </w:rPr>
        <w:t>A</w:t>
      </w:r>
      <w:r w:rsidRPr="00967592">
        <w:rPr>
          <w:rFonts w:ascii="Times New Roman" w:hAnsi="Times New Roman" w:cs="Times New Roman"/>
          <w:sz w:val="24"/>
          <w:szCs w:val="24"/>
          <w:lang w:val="en-GB"/>
        </w:rPr>
        <w:t>nalysis which starts with questions and prompts (W</w:t>
      </w:r>
      <w:r w:rsidR="00654F9E" w:rsidRPr="00967592">
        <w:rPr>
          <w:rFonts w:ascii="Times New Roman" w:hAnsi="Times New Roman" w:cs="Times New Roman"/>
          <w:sz w:val="24"/>
          <w:szCs w:val="24"/>
          <w:lang w:val="en-GB"/>
        </w:rPr>
        <w:t xml:space="preserve">atson </w:t>
      </w:r>
      <w:r w:rsidRPr="00967592">
        <w:rPr>
          <w:rFonts w:ascii="Times New Roman" w:hAnsi="Times New Roman" w:cs="Times New Roman"/>
          <w:sz w:val="24"/>
          <w:szCs w:val="24"/>
          <w:lang w:val="en-GB"/>
        </w:rPr>
        <w:t>&amp;</w:t>
      </w:r>
      <w:r w:rsidR="00654F9E" w:rsidRPr="00967592">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M</w:t>
      </w:r>
      <w:r w:rsidR="00654F9E" w:rsidRPr="00967592">
        <w:rPr>
          <w:rFonts w:ascii="Times New Roman" w:hAnsi="Times New Roman" w:cs="Times New Roman"/>
          <w:sz w:val="24"/>
          <w:szCs w:val="24"/>
          <w:lang w:val="en-GB"/>
        </w:rPr>
        <w:t>ason</w:t>
      </w:r>
      <w:r w:rsidR="00DA49FB">
        <w:rPr>
          <w:rFonts w:ascii="Times New Roman" w:hAnsi="Times New Roman" w:cs="Times New Roman"/>
          <w:sz w:val="24"/>
          <w:szCs w:val="24"/>
          <w:lang w:val="en-GB"/>
        </w:rPr>
        <w:t>,</w:t>
      </w:r>
      <w:r w:rsidRPr="00967592">
        <w:rPr>
          <w:rFonts w:ascii="Times New Roman" w:hAnsi="Times New Roman" w:cs="Times New Roman"/>
          <w:sz w:val="24"/>
          <w:szCs w:val="24"/>
          <w:lang w:val="en-GB"/>
        </w:rPr>
        <w:t xml:space="preserve"> 1998</w:t>
      </w:r>
      <w:r w:rsidR="0069166A" w:rsidRPr="00967592">
        <w:rPr>
          <w:rFonts w:ascii="Times New Roman" w:hAnsi="Times New Roman" w:cs="Times New Roman"/>
          <w:sz w:val="24"/>
          <w:szCs w:val="24"/>
          <w:lang w:val="en-GB"/>
        </w:rPr>
        <w:t>; W</w:t>
      </w:r>
      <w:r w:rsidR="00654F9E" w:rsidRPr="00967592">
        <w:rPr>
          <w:rFonts w:ascii="Times New Roman" w:hAnsi="Times New Roman" w:cs="Times New Roman"/>
          <w:sz w:val="24"/>
          <w:szCs w:val="24"/>
          <w:lang w:val="en-GB"/>
        </w:rPr>
        <w:t>atson,</w:t>
      </w:r>
      <w:r w:rsidR="0069166A" w:rsidRPr="00967592">
        <w:rPr>
          <w:rFonts w:ascii="Times New Roman" w:hAnsi="Times New Roman" w:cs="Times New Roman"/>
          <w:sz w:val="24"/>
          <w:szCs w:val="24"/>
          <w:lang w:val="en-GB"/>
        </w:rPr>
        <w:t xml:space="preserve"> 2007</w:t>
      </w:r>
      <w:r w:rsidR="00C628B6" w:rsidRPr="00967592">
        <w:rPr>
          <w:rFonts w:ascii="Times New Roman" w:hAnsi="Times New Roman" w:cs="Times New Roman"/>
          <w:sz w:val="24"/>
          <w:szCs w:val="24"/>
          <w:lang w:val="en-GB"/>
        </w:rPr>
        <w:t xml:space="preserve">) focuses </w:t>
      </w:r>
      <w:r w:rsidR="00331C20">
        <w:rPr>
          <w:rFonts w:ascii="Times New Roman" w:hAnsi="Times New Roman" w:cs="Times New Roman"/>
          <w:sz w:val="24"/>
          <w:szCs w:val="24"/>
          <w:lang w:val="en-GB"/>
        </w:rPr>
        <w:t>o</w:t>
      </w:r>
      <w:r w:rsidR="00C628B6" w:rsidRPr="00967592">
        <w:rPr>
          <w:rFonts w:ascii="Times New Roman" w:hAnsi="Times New Roman" w:cs="Times New Roman"/>
          <w:sz w:val="24"/>
          <w:szCs w:val="24"/>
          <w:lang w:val="en-GB"/>
        </w:rPr>
        <w:t>n what learners are asked to do; a</w:t>
      </w:r>
      <w:r w:rsidRPr="00967592">
        <w:rPr>
          <w:rFonts w:ascii="Times New Roman" w:hAnsi="Times New Roman" w:cs="Times New Roman"/>
          <w:sz w:val="24"/>
          <w:szCs w:val="24"/>
          <w:lang w:val="en-GB"/>
        </w:rPr>
        <w:t>nalysis which starts with examining variation</w:t>
      </w:r>
      <w:r w:rsidR="00654F9E" w:rsidRPr="00967592">
        <w:rPr>
          <w:rFonts w:ascii="Times New Roman" w:hAnsi="Times New Roman" w:cs="Times New Roman"/>
          <w:sz w:val="24"/>
          <w:szCs w:val="24"/>
          <w:lang w:val="en-GB"/>
        </w:rPr>
        <w:t xml:space="preserve"> among presented examples (Watson and Mason, 2006</w:t>
      </w:r>
      <w:r w:rsidRPr="00967592">
        <w:rPr>
          <w:rFonts w:ascii="Times New Roman" w:hAnsi="Times New Roman" w:cs="Times New Roman"/>
          <w:sz w:val="24"/>
          <w:szCs w:val="24"/>
          <w:lang w:val="en-GB"/>
        </w:rPr>
        <w:t>)</w:t>
      </w:r>
      <w:r w:rsidR="00C628B6" w:rsidRPr="00967592">
        <w:rPr>
          <w:rFonts w:ascii="Times New Roman" w:hAnsi="Times New Roman" w:cs="Times New Roman"/>
          <w:sz w:val="24"/>
          <w:szCs w:val="24"/>
          <w:lang w:val="en-GB"/>
        </w:rPr>
        <w:t xml:space="preserve"> focuses on the material from which learners can generalise. Both of these are different from</w:t>
      </w:r>
      <w:r w:rsidRPr="00967592">
        <w:rPr>
          <w:rFonts w:ascii="Times New Roman" w:hAnsi="Times New Roman" w:cs="Times New Roman"/>
          <w:sz w:val="24"/>
          <w:szCs w:val="24"/>
          <w:lang w:val="en-GB"/>
        </w:rPr>
        <w:t xml:space="preserve"> analysis which starts from comparing mathematical possibilities offered through the teacher’s role in interactiv</w:t>
      </w:r>
      <w:r w:rsidR="00654F9E" w:rsidRPr="00967592">
        <w:rPr>
          <w:rFonts w:ascii="Times New Roman" w:hAnsi="Times New Roman" w:cs="Times New Roman"/>
          <w:sz w:val="24"/>
          <w:szCs w:val="24"/>
          <w:lang w:val="en-GB"/>
        </w:rPr>
        <w:t>e sequences (Watson, 2004</w:t>
      </w:r>
      <w:r w:rsidR="00C628B6" w:rsidRPr="00967592">
        <w:rPr>
          <w:rFonts w:ascii="Times New Roman" w:hAnsi="Times New Roman" w:cs="Times New Roman"/>
          <w:sz w:val="24"/>
          <w:szCs w:val="24"/>
          <w:lang w:val="en-GB"/>
        </w:rPr>
        <w:t>; D</w:t>
      </w:r>
      <w:r w:rsidR="00654F9E" w:rsidRPr="00967592">
        <w:rPr>
          <w:rFonts w:ascii="Times New Roman" w:hAnsi="Times New Roman" w:cs="Times New Roman"/>
          <w:sz w:val="24"/>
          <w:szCs w:val="24"/>
          <w:lang w:val="en-GB"/>
        </w:rPr>
        <w:t xml:space="preserve">avid </w:t>
      </w:r>
      <w:r w:rsidR="00C628B6" w:rsidRPr="00967592">
        <w:rPr>
          <w:rFonts w:ascii="Times New Roman" w:hAnsi="Times New Roman" w:cs="Times New Roman"/>
          <w:sz w:val="24"/>
          <w:szCs w:val="24"/>
          <w:lang w:val="en-GB"/>
        </w:rPr>
        <w:t>&amp;</w:t>
      </w:r>
      <w:r w:rsidR="00654F9E" w:rsidRPr="00967592">
        <w:rPr>
          <w:rFonts w:ascii="Times New Roman" w:hAnsi="Times New Roman" w:cs="Times New Roman"/>
          <w:sz w:val="24"/>
          <w:szCs w:val="24"/>
          <w:lang w:val="en-GB"/>
        </w:rPr>
        <w:t xml:space="preserve"> </w:t>
      </w:r>
      <w:r w:rsidR="00C628B6" w:rsidRPr="00967592">
        <w:rPr>
          <w:rFonts w:ascii="Times New Roman" w:hAnsi="Times New Roman" w:cs="Times New Roman"/>
          <w:sz w:val="24"/>
          <w:szCs w:val="24"/>
          <w:lang w:val="en-GB"/>
        </w:rPr>
        <w:t>W</w:t>
      </w:r>
      <w:r w:rsidR="00654F9E" w:rsidRPr="00967592">
        <w:rPr>
          <w:rFonts w:ascii="Times New Roman" w:hAnsi="Times New Roman" w:cs="Times New Roman"/>
          <w:sz w:val="24"/>
          <w:szCs w:val="24"/>
          <w:lang w:val="en-GB"/>
        </w:rPr>
        <w:t>atson</w:t>
      </w:r>
      <w:r w:rsidR="00DA49FB">
        <w:rPr>
          <w:rFonts w:ascii="Times New Roman" w:hAnsi="Times New Roman" w:cs="Times New Roman"/>
          <w:sz w:val="24"/>
          <w:szCs w:val="24"/>
          <w:lang w:val="en-GB"/>
        </w:rPr>
        <w:t>,</w:t>
      </w:r>
      <w:r w:rsidR="00C628B6" w:rsidRPr="00967592">
        <w:rPr>
          <w:rFonts w:ascii="Times New Roman" w:hAnsi="Times New Roman" w:cs="Times New Roman"/>
          <w:sz w:val="24"/>
          <w:szCs w:val="24"/>
          <w:lang w:val="en-GB"/>
        </w:rPr>
        <w:t xml:space="preserve"> 2007); this </w:t>
      </w:r>
      <w:r w:rsidR="00331C20">
        <w:rPr>
          <w:rFonts w:ascii="Times New Roman" w:hAnsi="Times New Roman" w:cs="Times New Roman"/>
          <w:sz w:val="24"/>
          <w:szCs w:val="24"/>
          <w:lang w:val="en-GB"/>
        </w:rPr>
        <w:t xml:space="preserve">latter </w:t>
      </w:r>
      <w:r w:rsidR="00C628B6" w:rsidRPr="00967592">
        <w:rPr>
          <w:rFonts w:ascii="Times New Roman" w:hAnsi="Times New Roman" w:cs="Times New Roman"/>
          <w:sz w:val="24"/>
          <w:szCs w:val="24"/>
          <w:lang w:val="en-GB"/>
        </w:rPr>
        <w:t>approach to analysis tends to focus on how learners’ engagement can be mathematically shaped. There are other methods of analysis around, such as categorising different epistemological aspects of mathematics which are emphas</w:t>
      </w:r>
      <w:r w:rsidR="00654F9E" w:rsidRPr="00967592">
        <w:rPr>
          <w:rFonts w:ascii="Times New Roman" w:hAnsi="Times New Roman" w:cs="Times New Roman"/>
          <w:sz w:val="24"/>
          <w:szCs w:val="24"/>
          <w:lang w:val="en-GB"/>
        </w:rPr>
        <w:t>ised during a lesson</w:t>
      </w:r>
      <w:r w:rsidR="00331C20">
        <w:rPr>
          <w:rFonts w:ascii="Times New Roman" w:hAnsi="Times New Roman" w:cs="Times New Roman"/>
          <w:sz w:val="24"/>
          <w:szCs w:val="24"/>
          <w:lang w:val="en-GB"/>
        </w:rPr>
        <w:t xml:space="preserve"> (e.g. Andrews &amp; Sayers, 2005)</w:t>
      </w:r>
      <w:r w:rsidR="00C628B6" w:rsidRPr="00967592">
        <w:rPr>
          <w:rFonts w:ascii="Times New Roman" w:hAnsi="Times New Roman" w:cs="Times New Roman"/>
          <w:sz w:val="24"/>
          <w:szCs w:val="24"/>
          <w:lang w:val="en-GB"/>
        </w:rPr>
        <w:t xml:space="preserve">. </w:t>
      </w:r>
      <w:r w:rsidR="00C75850" w:rsidRPr="00967592">
        <w:rPr>
          <w:rFonts w:ascii="Times New Roman" w:hAnsi="Times New Roman" w:cs="Times New Roman"/>
          <w:sz w:val="24"/>
          <w:szCs w:val="24"/>
          <w:lang w:val="en-GB"/>
        </w:rPr>
        <w:t>All these approaches are valuable, but none completely capture the full sense of how one lesson is mathematically different from another. Mathematical activity appears to be fractal, and to unfold differently depending on the starting focus</w:t>
      </w:r>
      <w:r w:rsidR="004448F6">
        <w:rPr>
          <w:rFonts w:ascii="Times New Roman" w:hAnsi="Times New Roman" w:cs="Times New Roman"/>
          <w:sz w:val="24"/>
          <w:szCs w:val="24"/>
          <w:lang w:val="en-GB"/>
        </w:rPr>
        <w:t xml:space="preserve"> (see also Davis &amp; </w:t>
      </w:r>
      <w:proofErr w:type="spellStart"/>
      <w:r w:rsidR="004448F6">
        <w:rPr>
          <w:rFonts w:ascii="Times New Roman" w:hAnsi="Times New Roman" w:cs="Times New Roman"/>
          <w:sz w:val="24"/>
          <w:szCs w:val="24"/>
          <w:lang w:val="en-GB"/>
        </w:rPr>
        <w:t>Sumara</w:t>
      </w:r>
      <w:proofErr w:type="spellEnd"/>
      <w:r w:rsidR="004448F6">
        <w:rPr>
          <w:rFonts w:ascii="Times New Roman" w:hAnsi="Times New Roman" w:cs="Times New Roman"/>
          <w:sz w:val="24"/>
          <w:szCs w:val="24"/>
          <w:lang w:val="en-GB"/>
        </w:rPr>
        <w:t>, 2006)</w:t>
      </w:r>
      <w:r w:rsidR="00C75850" w:rsidRPr="00967592">
        <w:rPr>
          <w:rFonts w:ascii="Times New Roman" w:hAnsi="Times New Roman" w:cs="Times New Roman"/>
          <w:sz w:val="24"/>
          <w:szCs w:val="24"/>
          <w:lang w:val="en-GB"/>
        </w:rPr>
        <w:t>.  By unfolding layers of activity from one perspective, the folds hide other aspects which might be equally important.</w:t>
      </w:r>
    </w:p>
    <w:p w:rsidR="00C75850" w:rsidRPr="00967592" w:rsidRDefault="0001009C" w:rsidP="0001009C">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t>The nature of mathematical activity</w:t>
      </w:r>
    </w:p>
    <w:p w:rsidR="0069166A" w:rsidRPr="00967592" w:rsidRDefault="0069166A" w:rsidP="00C628B6">
      <w:pPr>
        <w:spacing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For this paper I have returned to mathematics itself, and its assumed structures, concepts and de</w:t>
      </w:r>
      <w:r w:rsidR="00C75850" w:rsidRPr="00967592">
        <w:rPr>
          <w:rFonts w:ascii="Times New Roman" w:hAnsi="Times New Roman" w:cs="Times New Roman"/>
          <w:sz w:val="24"/>
          <w:szCs w:val="24"/>
          <w:lang w:val="en-GB"/>
        </w:rPr>
        <w:t>finitions, to think about</w:t>
      </w:r>
      <w:r w:rsidRPr="00967592">
        <w:rPr>
          <w:rFonts w:ascii="Times New Roman" w:hAnsi="Times New Roman" w:cs="Times New Roman"/>
          <w:sz w:val="24"/>
          <w:szCs w:val="24"/>
          <w:lang w:val="en-GB"/>
        </w:rPr>
        <w:t xml:space="preserve"> differences in lessons. </w:t>
      </w:r>
      <w:r w:rsidR="00C75850" w:rsidRPr="00967592">
        <w:rPr>
          <w:rFonts w:ascii="Times New Roman" w:hAnsi="Times New Roman" w:cs="Times New Roman"/>
          <w:sz w:val="24"/>
          <w:szCs w:val="24"/>
          <w:lang w:val="en-GB"/>
        </w:rPr>
        <w:t xml:space="preserve"> In the TIMSS seven-nation video study ‘mathematical quality’ was ‘measured’ by a team of wel</w:t>
      </w:r>
      <w:r w:rsidR="00654F9E" w:rsidRPr="00967592">
        <w:rPr>
          <w:rFonts w:ascii="Times New Roman" w:hAnsi="Times New Roman" w:cs="Times New Roman"/>
          <w:sz w:val="24"/>
          <w:szCs w:val="24"/>
          <w:lang w:val="en-GB"/>
        </w:rPr>
        <w:t>l-qualified mathematicians (</w:t>
      </w:r>
      <w:proofErr w:type="spellStart"/>
      <w:r w:rsidR="00654F9E" w:rsidRPr="00967592">
        <w:rPr>
          <w:rFonts w:ascii="Times New Roman" w:hAnsi="Times New Roman" w:cs="Times New Roman"/>
          <w:color w:val="333333"/>
          <w:sz w:val="24"/>
          <w:szCs w:val="24"/>
        </w:rPr>
        <w:t>Hiebert</w:t>
      </w:r>
      <w:proofErr w:type="spellEnd"/>
      <w:r w:rsidR="00654F9E" w:rsidRPr="00967592">
        <w:rPr>
          <w:rFonts w:ascii="Times New Roman" w:hAnsi="Times New Roman" w:cs="Times New Roman"/>
          <w:color w:val="333333"/>
          <w:sz w:val="24"/>
          <w:szCs w:val="24"/>
        </w:rPr>
        <w:t xml:space="preserve">, </w:t>
      </w:r>
      <w:proofErr w:type="spellStart"/>
      <w:r w:rsidR="00654F9E" w:rsidRPr="00967592">
        <w:rPr>
          <w:rFonts w:ascii="Times New Roman" w:hAnsi="Times New Roman" w:cs="Times New Roman"/>
          <w:color w:val="333333"/>
          <w:sz w:val="24"/>
          <w:szCs w:val="24"/>
        </w:rPr>
        <w:t>Gallimore</w:t>
      </w:r>
      <w:proofErr w:type="spellEnd"/>
      <w:r w:rsidR="00654F9E" w:rsidRPr="00967592">
        <w:rPr>
          <w:rFonts w:ascii="Times New Roman" w:hAnsi="Times New Roman" w:cs="Times New Roman"/>
          <w:color w:val="333333"/>
          <w:sz w:val="24"/>
          <w:szCs w:val="24"/>
        </w:rPr>
        <w:t xml:space="preserve">, </w:t>
      </w:r>
      <w:proofErr w:type="spellStart"/>
      <w:r w:rsidR="00654F9E" w:rsidRPr="00967592">
        <w:rPr>
          <w:rFonts w:ascii="Times New Roman" w:hAnsi="Times New Roman" w:cs="Times New Roman"/>
          <w:color w:val="333333"/>
          <w:sz w:val="24"/>
          <w:szCs w:val="24"/>
        </w:rPr>
        <w:t>Garnier</w:t>
      </w:r>
      <w:proofErr w:type="spellEnd"/>
      <w:r w:rsidR="00654F9E" w:rsidRPr="00967592">
        <w:rPr>
          <w:rFonts w:ascii="Times New Roman" w:hAnsi="Times New Roman" w:cs="Times New Roman"/>
          <w:color w:val="333333"/>
          <w:sz w:val="24"/>
          <w:szCs w:val="24"/>
        </w:rPr>
        <w:t xml:space="preserve">, </w:t>
      </w:r>
      <w:proofErr w:type="spellStart"/>
      <w:r w:rsidR="00654F9E" w:rsidRPr="00967592">
        <w:rPr>
          <w:rFonts w:ascii="Times New Roman" w:hAnsi="Times New Roman" w:cs="Times New Roman"/>
          <w:color w:val="333333"/>
          <w:sz w:val="24"/>
          <w:szCs w:val="24"/>
        </w:rPr>
        <w:t>Givvin</w:t>
      </w:r>
      <w:proofErr w:type="spellEnd"/>
      <w:r w:rsidR="00654F9E" w:rsidRPr="00967592">
        <w:rPr>
          <w:rFonts w:ascii="Times New Roman" w:hAnsi="Times New Roman" w:cs="Times New Roman"/>
          <w:color w:val="333333"/>
          <w:sz w:val="24"/>
          <w:szCs w:val="24"/>
        </w:rPr>
        <w:t>, Hollingsworth, Jacobs, et al. </w:t>
      </w:r>
      <w:r w:rsidR="00654F9E" w:rsidRPr="00967592">
        <w:rPr>
          <w:rFonts w:ascii="Times New Roman" w:hAnsi="Times New Roman" w:cs="Times New Roman"/>
          <w:sz w:val="24"/>
          <w:szCs w:val="24"/>
        </w:rPr>
        <w:t xml:space="preserve">2003) </w:t>
      </w:r>
      <w:r w:rsidR="004448F6">
        <w:rPr>
          <w:rFonts w:ascii="Times New Roman" w:hAnsi="Times New Roman" w:cs="Times New Roman"/>
          <w:sz w:val="24"/>
          <w:szCs w:val="24"/>
          <w:lang w:val="en-GB"/>
        </w:rPr>
        <w:t>and used as a comparative characteristic</w:t>
      </w:r>
      <w:r w:rsidR="00C75850" w:rsidRPr="00967592">
        <w:rPr>
          <w:rFonts w:ascii="Times New Roman" w:hAnsi="Times New Roman" w:cs="Times New Roman"/>
          <w:sz w:val="24"/>
          <w:szCs w:val="24"/>
          <w:lang w:val="en-GB"/>
        </w:rPr>
        <w:t>.  The categorisations were very vague</w:t>
      </w:r>
      <w:r w:rsidR="0093498E" w:rsidRPr="00967592">
        <w:rPr>
          <w:rFonts w:ascii="Times New Roman" w:hAnsi="Times New Roman" w:cs="Times New Roman"/>
          <w:sz w:val="24"/>
          <w:szCs w:val="24"/>
          <w:lang w:val="en-GB"/>
        </w:rPr>
        <w:t>, it being assumed that people with string mathematical qualifications can make such judgements. S</w:t>
      </w:r>
      <w:r w:rsidR="00C75850" w:rsidRPr="00967592">
        <w:rPr>
          <w:rFonts w:ascii="Times New Roman" w:hAnsi="Times New Roman" w:cs="Times New Roman"/>
          <w:sz w:val="24"/>
          <w:szCs w:val="24"/>
          <w:lang w:val="en-GB"/>
        </w:rPr>
        <w:t>omething more informative is needed for teachers and teacher educators whose interpretations of ‘mathematical quality’ are necessarily limited by their own mathematical experiences. .V</w:t>
      </w:r>
      <w:r w:rsidRPr="00967592">
        <w:rPr>
          <w:rFonts w:ascii="Times New Roman" w:hAnsi="Times New Roman" w:cs="Times New Roman"/>
          <w:sz w:val="24"/>
          <w:szCs w:val="24"/>
          <w:lang w:val="en-GB"/>
        </w:rPr>
        <w:t>ariation theory (</w:t>
      </w:r>
      <w:proofErr w:type="spellStart"/>
      <w:r w:rsidRPr="00967592">
        <w:rPr>
          <w:rFonts w:ascii="Times New Roman" w:hAnsi="Times New Roman" w:cs="Times New Roman"/>
          <w:sz w:val="24"/>
          <w:szCs w:val="24"/>
          <w:lang w:val="en-GB"/>
        </w:rPr>
        <w:t>Marton</w:t>
      </w:r>
      <w:proofErr w:type="spellEnd"/>
      <w:r w:rsidRPr="00967592">
        <w:rPr>
          <w:rFonts w:ascii="Times New Roman" w:hAnsi="Times New Roman" w:cs="Times New Roman"/>
          <w:sz w:val="24"/>
          <w:szCs w:val="24"/>
          <w:lang w:val="en-GB"/>
        </w:rPr>
        <w:t xml:space="preserve">, Runesson and </w:t>
      </w:r>
      <w:proofErr w:type="spellStart"/>
      <w:r w:rsidRPr="00967592">
        <w:rPr>
          <w:rFonts w:ascii="Times New Roman" w:hAnsi="Times New Roman" w:cs="Times New Roman"/>
          <w:sz w:val="24"/>
          <w:szCs w:val="24"/>
          <w:lang w:val="en-GB"/>
        </w:rPr>
        <w:t>Tsui</w:t>
      </w:r>
      <w:proofErr w:type="spellEnd"/>
      <w:r w:rsidR="00331C20">
        <w:rPr>
          <w:rFonts w:ascii="Times New Roman" w:hAnsi="Times New Roman" w:cs="Times New Roman"/>
          <w:sz w:val="24"/>
          <w:szCs w:val="24"/>
          <w:lang w:val="en-GB"/>
        </w:rPr>
        <w:t>,</w:t>
      </w:r>
      <w:r w:rsidRPr="00967592">
        <w:rPr>
          <w:rFonts w:ascii="Times New Roman" w:hAnsi="Times New Roman" w:cs="Times New Roman"/>
          <w:sz w:val="24"/>
          <w:szCs w:val="24"/>
          <w:lang w:val="en-GB"/>
        </w:rPr>
        <w:t xml:space="preserve"> 2004) provides a tool for doing this to </w:t>
      </w:r>
      <w:r w:rsidRPr="00967592">
        <w:rPr>
          <w:rFonts w:ascii="Times New Roman" w:hAnsi="Times New Roman" w:cs="Times New Roman"/>
          <w:sz w:val="24"/>
          <w:szCs w:val="24"/>
          <w:lang w:val="en-GB"/>
        </w:rPr>
        <w:lastRenderedPageBreak/>
        <w:t>some extent, but I am going to sho</w:t>
      </w:r>
      <w:r w:rsidR="0093498E" w:rsidRPr="00967592">
        <w:rPr>
          <w:rFonts w:ascii="Times New Roman" w:hAnsi="Times New Roman" w:cs="Times New Roman"/>
          <w:sz w:val="24"/>
          <w:szCs w:val="24"/>
          <w:lang w:val="en-GB"/>
        </w:rPr>
        <w:t>w that there is more. I</w:t>
      </w:r>
      <w:r w:rsidRPr="00967592">
        <w:rPr>
          <w:rFonts w:ascii="Times New Roman" w:hAnsi="Times New Roman" w:cs="Times New Roman"/>
          <w:sz w:val="24"/>
          <w:szCs w:val="24"/>
          <w:lang w:val="en-GB"/>
        </w:rPr>
        <w:t xml:space="preserve"> do this by looking at classroom activity associated with ‘the same’ task taught by different teachers. </w:t>
      </w:r>
    </w:p>
    <w:p w:rsidR="00C75850" w:rsidRPr="00967592" w:rsidRDefault="00C75850" w:rsidP="00C628B6">
      <w:pPr>
        <w:spacing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Rather than</w:t>
      </w:r>
      <w:r w:rsidR="000A0D19" w:rsidRPr="00967592">
        <w:rPr>
          <w:rFonts w:ascii="Times New Roman" w:hAnsi="Times New Roman" w:cs="Times New Roman"/>
          <w:sz w:val="24"/>
          <w:szCs w:val="24"/>
          <w:lang w:val="en-GB"/>
        </w:rPr>
        <w:t xml:space="preserve"> looking at tasks to predict activity (usi</w:t>
      </w:r>
      <w:r w:rsidR="0001009C" w:rsidRPr="00967592">
        <w:rPr>
          <w:rFonts w:ascii="Times New Roman" w:hAnsi="Times New Roman" w:cs="Times New Roman"/>
          <w:sz w:val="24"/>
          <w:szCs w:val="24"/>
          <w:lang w:val="en-GB"/>
        </w:rPr>
        <w:t>ng the distinction developed by</w:t>
      </w:r>
      <w:r w:rsidR="0093498E" w:rsidRPr="00967592">
        <w:rPr>
          <w:rFonts w:ascii="Times New Roman" w:hAnsi="Times New Roman" w:cs="Times New Roman"/>
          <w:sz w:val="24"/>
          <w:szCs w:val="24"/>
          <w:lang w:val="en-GB"/>
        </w:rPr>
        <w:t xml:space="preserve"> </w:t>
      </w:r>
      <w:r w:rsidR="00654F9E" w:rsidRPr="00967592">
        <w:rPr>
          <w:rFonts w:ascii="Times New Roman" w:hAnsi="Times New Roman" w:cs="Times New Roman"/>
          <w:sz w:val="24"/>
          <w:szCs w:val="24"/>
          <w:lang w:val="en-GB"/>
        </w:rPr>
        <w:t>Christia</w:t>
      </w:r>
      <w:r w:rsidR="000A0D19" w:rsidRPr="00967592">
        <w:rPr>
          <w:rFonts w:ascii="Times New Roman" w:hAnsi="Times New Roman" w:cs="Times New Roman"/>
          <w:sz w:val="24"/>
          <w:szCs w:val="24"/>
          <w:lang w:val="en-GB"/>
        </w:rPr>
        <w:t xml:space="preserve">nsen </w:t>
      </w:r>
      <w:r w:rsidR="00331C20">
        <w:rPr>
          <w:rFonts w:ascii="Times New Roman" w:hAnsi="Times New Roman" w:cs="Times New Roman"/>
          <w:sz w:val="24"/>
          <w:szCs w:val="24"/>
          <w:lang w:val="en-GB"/>
        </w:rPr>
        <w:t>&amp;</w:t>
      </w:r>
      <w:r w:rsidR="000A0D19" w:rsidRPr="00967592">
        <w:rPr>
          <w:rFonts w:ascii="Times New Roman" w:hAnsi="Times New Roman" w:cs="Times New Roman"/>
          <w:sz w:val="24"/>
          <w:szCs w:val="24"/>
          <w:lang w:val="en-GB"/>
        </w:rPr>
        <w:t xml:space="preserve"> Walter</w:t>
      </w:r>
      <w:r w:rsidR="00331C20">
        <w:rPr>
          <w:rFonts w:ascii="Times New Roman" w:hAnsi="Times New Roman" w:cs="Times New Roman"/>
          <w:sz w:val="24"/>
          <w:szCs w:val="24"/>
          <w:lang w:val="en-GB"/>
        </w:rPr>
        <w:t>,</w:t>
      </w:r>
      <w:r w:rsidR="00654F9E" w:rsidRPr="00967592">
        <w:rPr>
          <w:rFonts w:ascii="Times New Roman" w:hAnsi="Times New Roman" w:cs="Times New Roman"/>
          <w:sz w:val="24"/>
          <w:szCs w:val="24"/>
          <w:lang w:val="en-GB"/>
        </w:rPr>
        <w:t xml:space="preserve"> 1986</w:t>
      </w:r>
      <w:r w:rsidR="000A0D19" w:rsidRPr="00967592">
        <w:rPr>
          <w:rFonts w:ascii="Times New Roman" w:hAnsi="Times New Roman" w:cs="Times New Roman"/>
          <w:sz w:val="24"/>
          <w:szCs w:val="24"/>
          <w:lang w:val="en-GB"/>
        </w:rPr>
        <w:t>), I am going to look</w:t>
      </w:r>
      <w:r w:rsidRPr="00967592">
        <w:rPr>
          <w:rFonts w:ascii="Times New Roman" w:hAnsi="Times New Roman" w:cs="Times New Roman"/>
          <w:sz w:val="24"/>
          <w:szCs w:val="24"/>
          <w:lang w:val="en-GB"/>
        </w:rPr>
        <w:t xml:space="preserve"> at </w:t>
      </w:r>
      <w:r w:rsidR="000A0D19" w:rsidRPr="00967592">
        <w:rPr>
          <w:rFonts w:ascii="Times New Roman" w:hAnsi="Times New Roman" w:cs="Times New Roman"/>
          <w:sz w:val="24"/>
          <w:szCs w:val="24"/>
          <w:lang w:val="en-GB"/>
        </w:rPr>
        <w:t>the nature of public mathematical activity to find a new lens for seeing</w:t>
      </w:r>
      <w:r w:rsidRPr="00967592">
        <w:rPr>
          <w:rFonts w:ascii="Times New Roman" w:hAnsi="Times New Roman" w:cs="Times New Roman"/>
          <w:sz w:val="24"/>
          <w:szCs w:val="24"/>
          <w:lang w:val="en-GB"/>
        </w:rPr>
        <w:t xml:space="preserve"> task</w:t>
      </w:r>
      <w:r w:rsidR="000A0D19" w:rsidRPr="00967592">
        <w:rPr>
          <w:rFonts w:ascii="Times New Roman" w:hAnsi="Times New Roman" w:cs="Times New Roman"/>
          <w:sz w:val="24"/>
          <w:szCs w:val="24"/>
          <w:lang w:val="en-GB"/>
        </w:rPr>
        <w:t xml:space="preserve"> implementation. </w:t>
      </w:r>
    </w:p>
    <w:p w:rsidR="000A0D19" w:rsidRPr="00967592" w:rsidRDefault="0001009C" w:rsidP="00C628B6">
      <w:pPr>
        <w:spacing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My method is </w:t>
      </w:r>
      <w:r w:rsidR="000A0D19" w:rsidRPr="00967592">
        <w:rPr>
          <w:rFonts w:ascii="Times New Roman" w:hAnsi="Times New Roman" w:cs="Times New Roman"/>
          <w:sz w:val="24"/>
          <w:szCs w:val="24"/>
          <w:lang w:val="en-GB"/>
        </w:rPr>
        <w:t>to use classroom observation and video to reflect on the nature of classroom mathematics. To focus on ‘public activity’ means to ask the question</w:t>
      </w:r>
      <w:r w:rsidRPr="00967592">
        <w:rPr>
          <w:rFonts w:ascii="Times New Roman" w:hAnsi="Times New Roman" w:cs="Times New Roman"/>
          <w:sz w:val="24"/>
          <w:szCs w:val="24"/>
          <w:lang w:val="en-GB"/>
        </w:rPr>
        <w:t xml:space="preserve">s: </w:t>
      </w:r>
      <w:r w:rsidR="000A0D19" w:rsidRPr="00967592">
        <w:rPr>
          <w:rFonts w:ascii="Times New Roman" w:hAnsi="Times New Roman" w:cs="Times New Roman"/>
          <w:sz w:val="24"/>
          <w:szCs w:val="24"/>
          <w:lang w:val="en-GB"/>
        </w:rPr>
        <w:t xml:space="preserve"> ‘What is the class supposed to be doing right now? What are they supposed to be thinking about? What is being said</w:t>
      </w:r>
      <w:r w:rsidRPr="00967592">
        <w:rPr>
          <w:rFonts w:ascii="Times New Roman" w:hAnsi="Times New Roman" w:cs="Times New Roman"/>
          <w:sz w:val="24"/>
          <w:szCs w:val="24"/>
          <w:lang w:val="en-GB"/>
        </w:rPr>
        <w:t xml:space="preserve"> and done</w:t>
      </w:r>
      <w:r w:rsidR="000A0D19" w:rsidRPr="00967592">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 xml:space="preserve">and </w:t>
      </w:r>
      <w:r w:rsidR="0093498E" w:rsidRPr="00967592">
        <w:rPr>
          <w:rFonts w:ascii="Times New Roman" w:hAnsi="Times New Roman" w:cs="Times New Roman"/>
          <w:sz w:val="24"/>
          <w:szCs w:val="24"/>
          <w:lang w:val="en-GB"/>
        </w:rPr>
        <w:t>by whom, that</w:t>
      </w:r>
      <w:r w:rsidR="000A0D19" w:rsidRPr="00967592">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 xml:space="preserve">is </w:t>
      </w:r>
      <w:r w:rsidR="000A0D19" w:rsidRPr="00967592">
        <w:rPr>
          <w:rFonts w:ascii="Times New Roman" w:hAnsi="Times New Roman" w:cs="Times New Roman"/>
          <w:sz w:val="24"/>
          <w:szCs w:val="24"/>
          <w:lang w:val="en-GB"/>
        </w:rPr>
        <w:t>shap</w:t>
      </w:r>
      <w:r w:rsidRPr="00967592">
        <w:rPr>
          <w:rFonts w:ascii="Times New Roman" w:hAnsi="Times New Roman" w:cs="Times New Roman"/>
          <w:sz w:val="24"/>
          <w:szCs w:val="24"/>
          <w:lang w:val="en-GB"/>
        </w:rPr>
        <w:t>ing</w:t>
      </w:r>
      <w:r w:rsidR="0093498E" w:rsidRPr="00967592">
        <w:rPr>
          <w:rFonts w:ascii="Times New Roman" w:hAnsi="Times New Roman" w:cs="Times New Roman"/>
          <w:sz w:val="24"/>
          <w:szCs w:val="24"/>
          <w:lang w:val="en-GB"/>
        </w:rPr>
        <w:t xml:space="preserve"> and is shaped by the</w:t>
      </w:r>
      <w:r w:rsidR="000A0D19" w:rsidRPr="00967592">
        <w:rPr>
          <w:rFonts w:ascii="Times New Roman" w:hAnsi="Times New Roman" w:cs="Times New Roman"/>
          <w:sz w:val="24"/>
          <w:szCs w:val="24"/>
          <w:lang w:val="en-GB"/>
        </w:rPr>
        <w:t xml:space="preserve"> activity?</w:t>
      </w:r>
      <w:r w:rsidRPr="00967592">
        <w:rPr>
          <w:rFonts w:ascii="Times New Roman" w:hAnsi="Times New Roman" w:cs="Times New Roman"/>
          <w:sz w:val="24"/>
          <w:szCs w:val="24"/>
          <w:lang w:val="en-GB"/>
        </w:rPr>
        <w:t>’</w:t>
      </w:r>
    </w:p>
    <w:p w:rsidR="0001009C" w:rsidRPr="00967592" w:rsidRDefault="0001009C" w:rsidP="00C628B6">
      <w:pPr>
        <w:spacing w:line="360" w:lineRule="auto"/>
        <w:rPr>
          <w:rFonts w:ascii="Times New Roman" w:hAnsi="Times New Roman" w:cs="Times New Roman"/>
          <w:sz w:val="24"/>
          <w:szCs w:val="24"/>
          <w:lang w:val="en-GB"/>
        </w:rPr>
      </w:pPr>
    </w:p>
    <w:p w:rsidR="0001009C" w:rsidRPr="00967592" w:rsidRDefault="0093498E" w:rsidP="0001009C">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t>U</w:t>
      </w:r>
      <w:r w:rsidR="0001009C" w:rsidRPr="00967592">
        <w:rPr>
          <w:rFonts w:ascii="Times New Roman" w:hAnsi="Times New Roman" w:cs="Times New Roman"/>
          <w:sz w:val="24"/>
          <w:szCs w:val="24"/>
          <w:lang w:val="en-GB"/>
        </w:rPr>
        <w:t>sing the ‘same’ tasks</w:t>
      </w:r>
    </w:p>
    <w:p w:rsidR="0069166A" w:rsidRPr="00967592" w:rsidRDefault="0069166A" w:rsidP="00665075">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Several teachers in the same school were teaching groups</w:t>
      </w:r>
      <w:r w:rsidR="00D06326" w:rsidRPr="00967592">
        <w:rPr>
          <w:rFonts w:ascii="Times New Roman" w:hAnsi="Times New Roman" w:cs="Times New Roman"/>
          <w:sz w:val="24"/>
          <w:szCs w:val="24"/>
          <w:lang w:val="en-GB"/>
        </w:rPr>
        <w:t xml:space="preserve"> of 12 year-olds who were more or less similar</w:t>
      </w:r>
      <w:r w:rsidR="00FE5D9A">
        <w:rPr>
          <w:rFonts w:ascii="Times New Roman" w:hAnsi="Times New Roman" w:cs="Times New Roman"/>
          <w:sz w:val="24"/>
          <w:szCs w:val="24"/>
          <w:lang w:val="en-GB"/>
        </w:rPr>
        <w:t xml:space="preserve"> in previous attainment.</w:t>
      </w:r>
      <w:r w:rsidR="00967592">
        <w:rPr>
          <w:rStyle w:val="FootnoteReference"/>
          <w:rFonts w:ascii="Times New Roman" w:hAnsi="Times New Roman" w:cs="Times New Roman"/>
          <w:sz w:val="24"/>
          <w:szCs w:val="24"/>
          <w:lang w:val="en-GB"/>
        </w:rPr>
        <w:footnoteReference w:id="1"/>
      </w:r>
      <w:r w:rsidRPr="00967592">
        <w:rPr>
          <w:rFonts w:ascii="Times New Roman" w:hAnsi="Times New Roman" w:cs="Times New Roman"/>
          <w:sz w:val="24"/>
          <w:szCs w:val="24"/>
          <w:lang w:val="en-GB"/>
        </w:rPr>
        <w:t>.  All teachers agreed to use a simila</w:t>
      </w:r>
      <w:r w:rsidR="00A12572" w:rsidRPr="00967592">
        <w:rPr>
          <w:rFonts w:ascii="Times New Roman" w:hAnsi="Times New Roman" w:cs="Times New Roman"/>
          <w:sz w:val="24"/>
          <w:szCs w:val="24"/>
          <w:lang w:val="en-GB"/>
        </w:rPr>
        <w:t>r approach to teaching loci using a combination of</w:t>
      </w:r>
      <w:r w:rsidRPr="00967592">
        <w:rPr>
          <w:rFonts w:ascii="Times New Roman" w:hAnsi="Times New Roman" w:cs="Times New Roman"/>
          <w:sz w:val="24"/>
          <w:szCs w:val="24"/>
          <w:lang w:val="en-GB"/>
        </w:rPr>
        <w:t xml:space="preserve"> straight-edge-and-compass constructions and the physical whole class activity of acting out loci by following instructions to ‘find a place to stand so that ….’ (e.g. ‘find a place to stand so that you are the same distance from these two points</w:t>
      </w:r>
      <w:r w:rsidR="007D7F2B" w:rsidRPr="00967592">
        <w:rPr>
          <w:rFonts w:ascii="Times New Roman" w:hAnsi="Times New Roman" w:cs="Times New Roman"/>
          <w:sz w:val="24"/>
          <w:szCs w:val="24"/>
          <w:lang w:val="en-GB"/>
        </w:rPr>
        <w:t>’</w:t>
      </w:r>
      <w:r w:rsidRPr="00967592">
        <w:rPr>
          <w:rFonts w:ascii="Times New Roman" w:hAnsi="Times New Roman" w:cs="Times New Roman"/>
          <w:sz w:val="24"/>
          <w:szCs w:val="24"/>
          <w:lang w:val="en-GB"/>
        </w:rPr>
        <w:t>;</w:t>
      </w:r>
      <w:r w:rsidR="00A12572" w:rsidRPr="00967592">
        <w:rPr>
          <w:rFonts w:ascii="Times New Roman" w:hAnsi="Times New Roman" w:cs="Times New Roman"/>
          <w:sz w:val="24"/>
          <w:szCs w:val="24"/>
          <w:lang w:val="en-GB"/>
        </w:rPr>
        <w:t xml:space="preserve"> or </w:t>
      </w:r>
      <w:r w:rsidR="007D7F2B" w:rsidRPr="00967592">
        <w:rPr>
          <w:rFonts w:ascii="Times New Roman" w:hAnsi="Times New Roman" w:cs="Times New Roman"/>
          <w:sz w:val="24"/>
          <w:szCs w:val="24"/>
          <w:lang w:val="en-GB"/>
        </w:rPr>
        <w:t>’…</w:t>
      </w:r>
      <w:r w:rsidR="00A12572" w:rsidRPr="00967592">
        <w:rPr>
          <w:rFonts w:ascii="Times New Roman" w:hAnsi="Times New Roman" w:cs="Times New Roman"/>
          <w:sz w:val="24"/>
          <w:szCs w:val="24"/>
          <w:lang w:val="en-GB"/>
        </w:rPr>
        <w:t xml:space="preserve"> </w:t>
      </w:r>
      <w:r w:rsidR="007D7F2B" w:rsidRPr="00967592">
        <w:rPr>
          <w:rFonts w:ascii="Times New Roman" w:hAnsi="Times New Roman" w:cs="Times New Roman"/>
          <w:sz w:val="24"/>
          <w:szCs w:val="24"/>
          <w:lang w:val="en-GB"/>
        </w:rPr>
        <w:t xml:space="preserve">all two metres from this point’; etc.)  </w:t>
      </w:r>
      <w:r w:rsidR="00665075" w:rsidRPr="00967592">
        <w:rPr>
          <w:rFonts w:ascii="Times New Roman" w:hAnsi="Times New Roman" w:cs="Times New Roman"/>
          <w:sz w:val="24"/>
          <w:szCs w:val="24"/>
          <w:lang w:val="en-GB"/>
        </w:rPr>
        <w:t>All classes constructed circles, perpendicular bisectors of line segments, and angle bisectors</w:t>
      </w:r>
      <w:r w:rsidR="0093498E" w:rsidRPr="00967592">
        <w:rPr>
          <w:rFonts w:ascii="Times New Roman" w:hAnsi="Times New Roman" w:cs="Times New Roman"/>
          <w:sz w:val="24"/>
          <w:szCs w:val="24"/>
          <w:lang w:val="en-GB"/>
        </w:rPr>
        <w:t xml:space="preserve"> and some other loci</w:t>
      </w:r>
      <w:r w:rsidR="00665075" w:rsidRPr="00967592">
        <w:rPr>
          <w:rFonts w:ascii="Times New Roman" w:hAnsi="Times New Roman" w:cs="Times New Roman"/>
          <w:sz w:val="24"/>
          <w:szCs w:val="24"/>
          <w:lang w:val="en-GB"/>
        </w:rPr>
        <w:t xml:space="preserve">. </w:t>
      </w:r>
      <w:r w:rsidR="007D7F2B" w:rsidRPr="00967592">
        <w:rPr>
          <w:rFonts w:ascii="Times New Roman" w:hAnsi="Times New Roman" w:cs="Times New Roman"/>
          <w:sz w:val="24"/>
          <w:szCs w:val="24"/>
          <w:lang w:val="en-GB"/>
        </w:rPr>
        <w:t>An indoor open space was available to do the physical task, and teachers chose to do this at different points during their lessons. Students were intended to relate their physical experience of standing accordin</w:t>
      </w:r>
      <w:r w:rsidR="00A12572" w:rsidRPr="00967592">
        <w:rPr>
          <w:rFonts w:ascii="Times New Roman" w:hAnsi="Times New Roman" w:cs="Times New Roman"/>
          <w:sz w:val="24"/>
          <w:szCs w:val="24"/>
          <w:lang w:val="en-GB"/>
        </w:rPr>
        <w:t>g to such rules to the processes</w:t>
      </w:r>
      <w:r w:rsidR="007D7F2B" w:rsidRPr="00967592">
        <w:rPr>
          <w:rFonts w:ascii="Times New Roman" w:hAnsi="Times New Roman" w:cs="Times New Roman"/>
          <w:sz w:val="24"/>
          <w:szCs w:val="24"/>
          <w:lang w:val="en-GB"/>
        </w:rPr>
        <w:t xml:space="preserve"> of geometrical construction.  This kind of connection, enabling shifts between three very different representations (words, actions and diagrams), is one of the characteristics noticed by </w:t>
      </w:r>
      <w:proofErr w:type="spellStart"/>
      <w:r w:rsidR="007D7F2B" w:rsidRPr="00967592">
        <w:rPr>
          <w:rFonts w:ascii="Times New Roman" w:hAnsi="Times New Roman" w:cs="Times New Roman"/>
          <w:sz w:val="24"/>
          <w:szCs w:val="24"/>
          <w:lang w:val="en-GB"/>
        </w:rPr>
        <w:t>Krutetskii</w:t>
      </w:r>
      <w:proofErr w:type="spellEnd"/>
      <w:r w:rsidR="007D7F2B" w:rsidRPr="00967592">
        <w:rPr>
          <w:rFonts w:ascii="Times New Roman" w:hAnsi="Times New Roman" w:cs="Times New Roman"/>
          <w:sz w:val="24"/>
          <w:szCs w:val="24"/>
          <w:lang w:val="en-GB"/>
        </w:rPr>
        <w:t xml:space="preserve"> as typical in gifted mathematics students</w:t>
      </w:r>
      <w:r w:rsidR="00654F9E" w:rsidRPr="00967592">
        <w:rPr>
          <w:rFonts w:ascii="Times New Roman" w:hAnsi="Times New Roman" w:cs="Times New Roman"/>
          <w:sz w:val="24"/>
          <w:szCs w:val="24"/>
          <w:lang w:val="en-GB"/>
        </w:rPr>
        <w:t xml:space="preserve"> (1967</w:t>
      </w:r>
      <w:r w:rsidR="00A12572" w:rsidRPr="00967592">
        <w:rPr>
          <w:rFonts w:ascii="Times New Roman" w:hAnsi="Times New Roman" w:cs="Times New Roman"/>
          <w:sz w:val="24"/>
          <w:szCs w:val="24"/>
          <w:lang w:val="en-GB"/>
        </w:rPr>
        <w:t>)</w:t>
      </w:r>
      <w:r w:rsidR="007D7F2B" w:rsidRPr="00967592">
        <w:rPr>
          <w:rFonts w:ascii="Times New Roman" w:hAnsi="Times New Roman" w:cs="Times New Roman"/>
          <w:sz w:val="24"/>
          <w:szCs w:val="24"/>
          <w:lang w:val="en-GB"/>
        </w:rPr>
        <w:t xml:space="preserve">.  </w:t>
      </w:r>
      <w:r w:rsidR="00A12572" w:rsidRPr="00967592">
        <w:rPr>
          <w:rFonts w:ascii="Times New Roman" w:hAnsi="Times New Roman" w:cs="Times New Roman"/>
          <w:sz w:val="24"/>
          <w:szCs w:val="24"/>
          <w:lang w:val="en-GB"/>
        </w:rPr>
        <w:t>The pro</w:t>
      </w:r>
      <w:r w:rsidR="0001009C" w:rsidRPr="00967592">
        <w:rPr>
          <w:rFonts w:ascii="Times New Roman" w:hAnsi="Times New Roman" w:cs="Times New Roman"/>
          <w:sz w:val="24"/>
          <w:szCs w:val="24"/>
          <w:lang w:val="en-GB"/>
        </w:rPr>
        <w:t>blem for teachers is, therefore:</w:t>
      </w:r>
      <w:r w:rsidR="00A12572" w:rsidRPr="00967592">
        <w:rPr>
          <w:rFonts w:ascii="Times New Roman" w:hAnsi="Times New Roman" w:cs="Times New Roman"/>
          <w:sz w:val="24"/>
          <w:szCs w:val="24"/>
          <w:lang w:val="en-GB"/>
        </w:rPr>
        <w:t xml:space="preserve"> how </w:t>
      </w:r>
      <w:r w:rsidR="0001009C" w:rsidRPr="00967592">
        <w:rPr>
          <w:rFonts w:ascii="Times New Roman" w:hAnsi="Times New Roman" w:cs="Times New Roman"/>
          <w:sz w:val="24"/>
          <w:szCs w:val="24"/>
          <w:lang w:val="en-GB"/>
        </w:rPr>
        <w:t xml:space="preserve">can </w:t>
      </w:r>
      <w:r w:rsidR="00A12572" w:rsidRPr="00967592">
        <w:rPr>
          <w:rFonts w:ascii="Times New Roman" w:hAnsi="Times New Roman" w:cs="Times New Roman"/>
          <w:sz w:val="24"/>
          <w:szCs w:val="24"/>
          <w:lang w:val="en-GB"/>
        </w:rPr>
        <w:t>all students be helped to make the connections that the highest achieving students are e</w:t>
      </w:r>
      <w:r w:rsidR="0001009C" w:rsidRPr="00967592">
        <w:rPr>
          <w:rFonts w:ascii="Times New Roman" w:hAnsi="Times New Roman" w:cs="Times New Roman"/>
          <w:sz w:val="24"/>
          <w:szCs w:val="24"/>
          <w:lang w:val="en-GB"/>
        </w:rPr>
        <w:t xml:space="preserve">xpected to make for themselves? </w:t>
      </w:r>
      <w:r w:rsidR="00A12572" w:rsidRPr="00967592">
        <w:rPr>
          <w:rFonts w:ascii="Times New Roman" w:hAnsi="Times New Roman" w:cs="Times New Roman"/>
          <w:sz w:val="24"/>
          <w:szCs w:val="24"/>
          <w:lang w:val="en-GB"/>
        </w:rPr>
        <w:t xml:space="preserve">This problem is exacerbated by the affordances of the physical task: it is possible to take a ‘gap-filling’ role without </w:t>
      </w:r>
      <w:r w:rsidR="00395190" w:rsidRPr="00967592">
        <w:rPr>
          <w:rFonts w:ascii="Times New Roman" w:hAnsi="Times New Roman" w:cs="Times New Roman"/>
          <w:sz w:val="24"/>
          <w:szCs w:val="24"/>
          <w:lang w:val="en-GB"/>
        </w:rPr>
        <w:lastRenderedPageBreak/>
        <w:t xml:space="preserve">constructing </w:t>
      </w:r>
      <w:r w:rsidR="00A12572" w:rsidRPr="00967592">
        <w:rPr>
          <w:rFonts w:ascii="Times New Roman" w:hAnsi="Times New Roman" w:cs="Times New Roman"/>
          <w:sz w:val="24"/>
          <w:szCs w:val="24"/>
          <w:lang w:val="en-GB"/>
        </w:rPr>
        <w:t>a personal interpretation of the instructions, and hence not to have</w:t>
      </w:r>
      <w:r w:rsidR="00395190" w:rsidRPr="00967592">
        <w:rPr>
          <w:rFonts w:ascii="Times New Roman" w:hAnsi="Times New Roman" w:cs="Times New Roman"/>
          <w:sz w:val="24"/>
          <w:szCs w:val="24"/>
          <w:lang w:val="en-GB"/>
        </w:rPr>
        <w:t xml:space="preserve"> an </w:t>
      </w:r>
      <w:r w:rsidR="00A12572" w:rsidRPr="00967592">
        <w:rPr>
          <w:rFonts w:ascii="Times New Roman" w:hAnsi="Times New Roman" w:cs="Times New Roman"/>
          <w:sz w:val="24"/>
          <w:szCs w:val="24"/>
          <w:lang w:val="en-GB"/>
        </w:rPr>
        <w:t>experience of being a point in relation to other points to refer to when reproducing the locus on paper.</w:t>
      </w:r>
      <w:r w:rsidR="00D06326" w:rsidRPr="00967592">
        <w:rPr>
          <w:rFonts w:ascii="Times New Roman" w:hAnsi="Times New Roman" w:cs="Times New Roman"/>
          <w:sz w:val="24"/>
          <w:szCs w:val="24"/>
          <w:lang w:val="en-GB"/>
        </w:rPr>
        <w:t xml:space="preserve"> It is also worth mentioning that these students had little experience of geometry beyond some knowledge of angles, and the naming of polygons – no classical, formal, geometry at all.</w:t>
      </w:r>
    </w:p>
    <w:p w:rsidR="00E922F0" w:rsidRPr="00967592" w:rsidRDefault="00E922F0" w:rsidP="00CC14DD">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The five lessons </w:t>
      </w:r>
      <w:r w:rsidR="00CC14DD">
        <w:rPr>
          <w:rFonts w:ascii="Times New Roman" w:hAnsi="Times New Roman" w:cs="Times New Roman"/>
          <w:sz w:val="24"/>
          <w:szCs w:val="24"/>
          <w:lang w:val="en-GB"/>
        </w:rPr>
        <w:t>were</w:t>
      </w:r>
      <w:r w:rsidRPr="00967592">
        <w:rPr>
          <w:rFonts w:ascii="Times New Roman" w:hAnsi="Times New Roman" w:cs="Times New Roman"/>
          <w:sz w:val="24"/>
          <w:szCs w:val="24"/>
          <w:lang w:val="en-GB"/>
        </w:rPr>
        <w:t xml:space="preserve"> compared</w:t>
      </w:r>
      <w:r w:rsidR="00CC14DD">
        <w:rPr>
          <w:rFonts w:ascii="Times New Roman" w:hAnsi="Times New Roman" w:cs="Times New Roman"/>
          <w:sz w:val="24"/>
          <w:szCs w:val="24"/>
          <w:lang w:val="en-GB"/>
        </w:rPr>
        <w:t xml:space="preserve"> qualitatively</w:t>
      </w:r>
      <w:r w:rsidRPr="00967592">
        <w:rPr>
          <w:rFonts w:ascii="Times New Roman" w:hAnsi="Times New Roman" w:cs="Times New Roman"/>
          <w:sz w:val="24"/>
          <w:szCs w:val="24"/>
          <w:lang w:val="en-GB"/>
        </w:rPr>
        <w:t xml:space="preserve"> in a variety of ways.  I looked at</w:t>
      </w:r>
      <w:r w:rsidR="00CC14DD">
        <w:rPr>
          <w:rFonts w:ascii="Times New Roman" w:hAnsi="Times New Roman" w:cs="Times New Roman"/>
          <w:sz w:val="24"/>
          <w:szCs w:val="24"/>
          <w:lang w:val="en-GB"/>
        </w:rPr>
        <w:t xml:space="preserve"> the nature and amount of </w:t>
      </w:r>
      <w:r w:rsidRPr="00967592">
        <w:rPr>
          <w:rFonts w:ascii="Times New Roman" w:hAnsi="Times New Roman" w:cs="Times New Roman"/>
          <w:sz w:val="24"/>
          <w:szCs w:val="24"/>
          <w:lang w:val="en-GB"/>
        </w:rPr>
        <w:t>variation</w:t>
      </w:r>
      <w:r w:rsidR="00CC14DD">
        <w:rPr>
          <w:rFonts w:ascii="Times New Roman" w:hAnsi="Times New Roman" w:cs="Times New Roman"/>
          <w:sz w:val="24"/>
          <w:szCs w:val="24"/>
          <w:lang w:val="en-GB"/>
        </w:rPr>
        <w:t xml:space="preserve"> offered in the task, the </w:t>
      </w:r>
      <w:r w:rsidRPr="00967592">
        <w:rPr>
          <w:rFonts w:ascii="Times New Roman" w:hAnsi="Times New Roman" w:cs="Times New Roman"/>
          <w:sz w:val="24"/>
          <w:szCs w:val="24"/>
          <w:lang w:val="en-GB"/>
        </w:rPr>
        <w:t>questions and prompts used by teachers</w:t>
      </w:r>
      <w:r w:rsidR="00CC14DD">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whether teachers worked with whole classes or small groups</w:t>
      </w:r>
      <w:r w:rsidR="00CC14DD">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interaction patterns</w:t>
      </w:r>
      <w:r w:rsidR="00CC14DD">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 xml:space="preserve">combinations of ‘doing’ and ‘thinking’ prompts, the emphasis on reasoning, and whether teachers simplified their questioning when students could not, at first, answer.  </w:t>
      </w:r>
      <w:r w:rsidR="00CC14DD">
        <w:rPr>
          <w:rFonts w:ascii="Times New Roman" w:hAnsi="Times New Roman" w:cs="Times New Roman"/>
          <w:sz w:val="24"/>
          <w:szCs w:val="24"/>
          <w:lang w:val="en-GB"/>
        </w:rPr>
        <w:t xml:space="preserve">These foci for analysis were selected on an underlying theory that students can only respond to what is made available to them in the words, actions and artefacts of the lesson. In other words, the </w:t>
      </w:r>
      <w:proofErr w:type="spellStart"/>
      <w:r w:rsidR="00CC14DD">
        <w:rPr>
          <w:rFonts w:ascii="Times New Roman" w:hAnsi="Times New Roman" w:cs="Times New Roman"/>
          <w:sz w:val="24"/>
          <w:szCs w:val="24"/>
          <w:lang w:val="en-GB"/>
        </w:rPr>
        <w:t>mediational</w:t>
      </w:r>
      <w:proofErr w:type="spellEnd"/>
      <w:r w:rsidR="00CC14DD">
        <w:rPr>
          <w:rFonts w:ascii="Times New Roman" w:hAnsi="Times New Roman" w:cs="Times New Roman"/>
          <w:sz w:val="24"/>
          <w:szCs w:val="24"/>
          <w:lang w:val="en-GB"/>
        </w:rPr>
        <w:t xml:space="preserve"> devices</w:t>
      </w:r>
      <w:r w:rsidR="00802F7A">
        <w:rPr>
          <w:rFonts w:ascii="Times New Roman" w:hAnsi="Times New Roman" w:cs="Times New Roman"/>
          <w:sz w:val="24"/>
          <w:szCs w:val="24"/>
          <w:lang w:val="en-GB"/>
        </w:rPr>
        <w:t xml:space="preserve"> and instructions</w:t>
      </w:r>
      <w:r w:rsidR="00CC14DD">
        <w:rPr>
          <w:rFonts w:ascii="Times New Roman" w:hAnsi="Times New Roman" w:cs="Times New Roman"/>
          <w:sz w:val="24"/>
          <w:szCs w:val="24"/>
          <w:lang w:val="en-GB"/>
        </w:rPr>
        <w:t xml:space="preserve"> used by the teacher and other students, whether intentional or not, shape the learners’ experience of the lesson. In these five lessons, this shaping turned out to be </w:t>
      </w:r>
      <w:r w:rsidR="00802F7A">
        <w:rPr>
          <w:rFonts w:ascii="Times New Roman" w:hAnsi="Times New Roman" w:cs="Times New Roman"/>
          <w:sz w:val="24"/>
          <w:szCs w:val="24"/>
          <w:lang w:val="en-GB"/>
        </w:rPr>
        <w:t xml:space="preserve">mathematically </w:t>
      </w:r>
      <w:r w:rsidR="00CC14DD">
        <w:rPr>
          <w:rFonts w:ascii="Times New Roman" w:hAnsi="Times New Roman" w:cs="Times New Roman"/>
          <w:sz w:val="24"/>
          <w:szCs w:val="24"/>
          <w:lang w:val="en-GB"/>
        </w:rPr>
        <w:t>different even though the actions and artefacts were similar. The details of the data are omitted here in order to focus more quickly on what I claim to be essential differences</w:t>
      </w:r>
      <w:r w:rsidR="00802F7A">
        <w:rPr>
          <w:rFonts w:ascii="Times New Roman" w:hAnsi="Times New Roman" w:cs="Times New Roman"/>
          <w:sz w:val="24"/>
          <w:szCs w:val="24"/>
          <w:lang w:val="en-GB"/>
        </w:rPr>
        <w:t>, these having been arrived at by comparing features of lessons under the categories described above.</w:t>
      </w:r>
    </w:p>
    <w:p w:rsidR="001B7AEE" w:rsidRDefault="00E922F0" w:rsidP="00E922F0">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There were strong similarities between the lessons: all teachers used a mixture of asking, prompting, telling, showing, referring students to other students’ work and so on.  All teachers focused on getting students to explain their choices and actions. All students had to work out as much as they could themselves about how to do the constructions, either by reasoning or by listening to others’ reasons in whole class discussion. The tasks were presented in remarkably similar ways and, in variation theory terms, offered similar variation in similar ways due to the mathematical structures being taught and the choice of loci with which to work, which had been agreed by the team. Teachers’ intentions were similar, and all of them praised accuracy and sought for reasoned action. Written work was similar, and students might report similar experiences after the lessons.  Analyses in terms of variation and affordances and constraints, and situational norms, and the nature of questions and prompts, and the kinds of d</w:t>
      </w:r>
      <w:r w:rsidR="003C6D40">
        <w:rPr>
          <w:rFonts w:ascii="Times New Roman" w:hAnsi="Times New Roman" w:cs="Times New Roman"/>
          <w:sz w:val="24"/>
          <w:szCs w:val="24"/>
          <w:lang w:val="en-GB"/>
        </w:rPr>
        <w:t>emands made on learners provided</w:t>
      </w:r>
      <w:r w:rsidRPr="00967592">
        <w:rPr>
          <w:rFonts w:ascii="Times New Roman" w:hAnsi="Times New Roman" w:cs="Times New Roman"/>
          <w:sz w:val="24"/>
          <w:szCs w:val="24"/>
          <w:lang w:val="en-GB"/>
        </w:rPr>
        <w:t xml:space="preserve"> very similar results. None of the dichotomies used in the literature to compare lessons </w:t>
      </w:r>
      <w:r w:rsidRPr="00967592">
        <w:rPr>
          <w:rFonts w:ascii="Times New Roman" w:hAnsi="Times New Roman" w:cs="Times New Roman"/>
          <w:sz w:val="24"/>
          <w:szCs w:val="24"/>
          <w:lang w:val="en-GB"/>
        </w:rPr>
        <w:lastRenderedPageBreak/>
        <w:t>superficially (open/closed; teacher-centred/learner-centred; traditional/reform) were helpful in identifying difference, yet as a</w:t>
      </w:r>
      <w:r w:rsidR="00802F7A">
        <w:rPr>
          <w:rFonts w:ascii="Times New Roman" w:hAnsi="Times New Roman" w:cs="Times New Roman"/>
          <w:sz w:val="24"/>
          <w:szCs w:val="24"/>
          <w:lang w:val="en-GB"/>
        </w:rPr>
        <w:t xml:space="preserve"> mathematical</w:t>
      </w:r>
      <w:r w:rsidRPr="00967592">
        <w:rPr>
          <w:rFonts w:ascii="Times New Roman" w:hAnsi="Times New Roman" w:cs="Times New Roman"/>
          <w:sz w:val="24"/>
          <w:szCs w:val="24"/>
          <w:lang w:val="en-GB"/>
        </w:rPr>
        <w:t xml:space="preserve"> observer I know that the mathematical affordances of the lessons varied.</w:t>
      </w:r>
      <w:r w:rsidR="002C7BD0" w:rsidRPr="00967592">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They provided different kinds of intellectual and mathemati</w:t>
      </w:r>
      <w:r w:rsidR="002C7BD0" w:rsidRPr="00967592">
        <w:rPr>
          <w:rFonts w:ascii="Times New Roman" w:hAnsi="Times New Roman" w:cs="Times New Roman"/>
          <w:sz w:val="24"/>
          <w:szCs w:val="24"/>
          <w:lang w:val="en-GB"/>
        </w:rPr>
        <w:t>cal engagement.</w:t>
      </w:r>
      <w:r w:rsidRPr="00967592">
        <w:rPr>
          <w:rFonts w:ascii="Times New Roman" w:hAnsi="Times New Roman" w:cs="Times New Roman"/>
          <w:sz w:val="24"/>
          <w:szCs w:val="24"/>
          <w:lang w:val="en-GB"/>
        </w:rPr>
        <w:t xml:space="preserve"> </w:t>
      </w:r>
    </w:p>
    <w:p w:rsidR="00802F7A" w:rsidRPr="00967592" w:rsidRDefault="00802F7A" w:rsidP="00802F7A">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The components of the tasks were offered in different orders by different teachers; teachers said different things to students at different times; there was a range of different patterns of participation for individual students in each lesson; the various possible constructions were offered in different orders. </w:t>
      </w:r>
    </w:p>
    <w:p w:rsidR="00395190" w:rsidRPr="00967592" w:rsidRDefault="00802F7A" w:rsidP="00E922F0">
      <w:pPr>
        <w:spacing w:before="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express these different kinds of engagement </w:t>
      </w:r>
      <w:r w:rsidR="00395190" w:rsidRPr="00967592">
        <w:rPr>
          <w:rFonts w:ascii="Times New Roman" w:hAnsi="Times New Roman" w:cs="Times New Roman"/>
          <w:sz w:val="24"/>
          <w:szCs w:val="24"/>
          <w:lang w:val="en-GB"/>
        </w:rPr>
        <w:t>I shall now describe three different versions of this lesson and draw attent</w:t>
      </w:r>
      <w:r w:rsidR="0001009C" w:rsidRPr="00967592">
        <w:rPr>
          <w:rFonts w:ascii="Times New Roman" w:hAnsi="Times New Roman" w:cs="Times New Roman"/>
          <w:sz w:val="24"/>
          <w:szCs w:val="24"/>
          <w:lang w:val="en-GB"/>
        </w:rPr>
        <w:t xml:space="preserve">ion to </w:t>
      </w:r>
      <w:r w:rsidR="00395190" w:rsidRPr="00967592">
        <w:rPr>
          <w:rFonts w:ascii="Times New Roman" w:hAnsi="Times New Roman" w:cs="Times New Roman"/>
          <w:sz w:val="24"/>
          <w:szCs w:val="24"/>
          <w:lang w:val="en-GB"/>
        </w:rPr>
        <w:t xml:space="preserve">different </w:t>
      </w:r>
      <w:r w:rsidR="0001009C" w:rsidRPr="00967592">
        <w:rPr>
          <w:rFonts w:ascii="Times New Roman" w:hAnsi="Times New Roman" w:cs="Times New Roman"/>
          <w:sz w:val="24"/>
          <w:szCs w:val="24"/>
          <w:lang w:val="en-GB"/>
        </w:rPr>
        <w:t xml:space="preserve">mathematical </w:t>
      </w:r>
      <w:r w:rsidR="00395190" w:rsidRPr="00967592">
        <w:rPr>
          <w:rFonts w:ascii="Times New Roman" w:hAnsi="Times New Roman" w:cs="Times New Roman"/>
          <w:sz w:val="24"/>
          <w:szCs w:val="24"/>
          <w:lang w:val="en-GB"/>
        </w:rPr>
        <w:t>learning experiences for the students involved.  To do this,</w:t>
      </w:r>
      <w:r w:rsidR="00D06326" w:rsidRPr="00967592">
        <w:rPr>
          <w:rFonts w:ascii="Times New Roman" w:hAnsi="Times New Roman" w:cs="Times New Roman"/>
          <w:sz w:val="24"/>
          <w:szCs w:val="24"/>
          <w:lang w:val="en-GB"/>
        </w:rPr>
        <w:t xml:space="preserve"> I am drawing on</w:t>
      </w:r>
      <w:r w:rsidR="0093498E" w:rsidRPr="00967592">
        <w:rPr>
          <w:rFonts w:ascii="Times New Roman" w:hAnsi="Times New Roman" w:cs="Times New Roman"/>
          <w:sz w:val="24"/>
          <w:szCs w:val="24"/>
          <w:lang w:val="en-GB"/>
        </w:rPr>
        <w:t xml:space="preserve"> the</w:t>
      </w:r>
      <w:r w:rsidR="00D06326" w:rsidRPr="00967592">
        <w:rPr>
          <w:rFonts w:ascii="Times New Roman" w:hAnsi="Times New Roman" w:cs="Times New Roman"/>
          <w:sz w:val="24"/>
          <w:szCs w:val="24"/>
          <w:lang w:val="en-GB"/>
        </w:rPr>
        <w:t xml:space="preserve"> five </w:t>
      </w:r>
      <w:r w:rsidR="00395190" w:rsidRPr="00967592">
        <w:rPr>
          <w:rFonts w:ascii="Times New Roman" w:hAnsi="Times New Roman" w:cs="Times New Roman"/>
          <w:sz w:val="24"/>
          <w:szCs w:val="24"/>
          <w:lang w:val="en-GB"/>
        </w:rPr>
        <w:t>observed lessons,</w:t>
      </w:r>
      <w:r w:rsidR="0064255C" w:rsidRPr="00967592">
        <w:rPr>
          <w:rFonts w:ascii="Times New Roman" w:hAnsi="Times New Roman" w:cs="Times New Roman"/>
          <w:sz w:val="24"/>
          <w:szCs w:val="24"/>
          <w:lang w:val="en-GB"/>
        </w:rPr>
        <w:t xml:space="preserve"> constructing</w:t>
      </w:r>
      <w:r w:rsidR="0064255C" w:rsidRPr="001B7AEE">
        <w:rPr>
          <w:rFonts w:ascii="Times New Roman" w:hAnsi="Times New Roman" w:cs="Times New Roman"/>
          <w:i/>
          <w:sz w:val="24"/>
          <w:szCs w:val="24"/>
          <w:lang w:val="en-GB"/>
        </w:rPr>
        <w:t xml:space="preserve"> compendium</w:t>
      </w:r>
      <w:r w:rsidR="0064255C" w:rsidRPr="00967592">
        <w:rPr>
          <w:rFonts w:ascii="Times New Roman" w:hAnsi="Times New Roman" w:cs="Times New Roman"/>
          <w:sz w:val="24"/>
          <w:szCs w:val="24"/>
          <w:lang w:val="en-GB"/>
        </w:rPr>
        <w:t xml:space="preserve"> lesson outlines</w:t>
      </w:r>
      <w:r w:rsidR="00395190" w:rsidRPr="00967592">
        <w:rPr>
          <w:rFonts w:ascii="Times New Roman" w:hAnsi="Times New Roman" w:cs="Times New Roman"/>
          <w:sz w:val="24"/>
          <w:szCs w:val="24"/>
          <w:lang w:val="en-GB"/>
        </w:rPr>
        <w:t xml:space="preserve"> which include the main </w:t>
      </w:r>
      <w:r>
        <w:rPr>
          <w:rFonts w:ascii="Times New Roman" w:hAnsi="Times New Roman" w:cs="Times New Roman"/>
          <w:sz w:val="24"/>
          <w:szCs w:val="24"/>
          <w:lang w:val="en-GB"/>
        </w:rPr>
        <w:t xml:space="preserve">common </w:t>
      </w:r>
      <w:r w:rsidR="00395190" w:rsidRPr="00967592">
        <w:rPr>
          <w:rFonts w:ascii="Times New Roman" w:hAnsi="Times New Roman" w:cs="Times New Roman"/>
          <w:sz w:val="24"/>
          <w:szCs w:val="24"/>
          <w:lang w:val="en-GB"/>
        </w:rPr>
        <w:t>features</w:t>
      </w:r>
      <w:r>
        <w:rPr>
          <w:rFonts w:ascii="Times New Roman" w:hAnsi="Times New Roman" w:cs="Times New Roman"/>
          <w:sz w:val="24"/>
          <w:szCs w:val="24"/>
          <w:lang w:val="en-GB"/>
        </w:rPr>
        <w:t>, described above,</w:t>
      </w:r>
      <w:r w:rsidR="00395190" w:rsidRPr="00967592">
        <w:rPr>
          <w:rFonts w:ascii="Times New Roman" w:hAnsi="Times New Roman" w:cs="Times New Roman"/>
          <w:sz w:val="24"/>
          <w:szCs w:val="24"/>
          <w:lang w:val="en-GB"/>
        </w:rPr>
        <w:t xml:space="preserve"> of the five</w:t>
      </w:r>
      <w:r w:rsidR="001B7AEE">
        <w:rPr>
          <w:rFonts w:ascii="Times New Roman" w:hAnsi="Times New Roman" w:cs="Times New Roman"/>
          <w:sz w:val="24"/>
          <w:szCs w:val="24"/>
          <w:lang w:val="en-GB"/>
        </w:rPr>
        <w:t>; in fact one lesson is as it was originally, while the other two are each built from features of lessons</w:t>
      </w:r>
      <w:r>
        <w:rPr>
          <w:rFonts w:ascii="Times New Roman" w:hAnsi="Times New Roman" w:cs="Times New Roman"/>
          <w:sz w:val="24"/>
          <w:szCs w:val="24"/>
          <w:lang w:val="en-GB"/>
        </w:rPr>
        <w:t xml:space="preserve"> which had a great deal in common</w:t>
      </w:r>
      <w:r w:rsidR="001B7AEE">
        <w:rPr>
          <w:rFonts w:ascii="Times New Roman" w:hAnsi="Times New Roman" w:cs="Times New Roman"/>
          <w:sz w:val="24"/>
          <w:szCs w:val="24"/>
          <w:lang w:val="en-GB"/>
        </w:rPr>
        <w:t>.</w:t>
      </w:r>
      <w:r w:rsidR="00395190" w:rsidRPr="0096759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this way I present lessons which have in common many of the features usually highlighted in current literature about lesson analysis, yet this presentation allows me to also present differences of intellectual and mathematical affordances. </w:t>
      </w:r>
      <w:r w:rsidR="00395190" w:rsidRPr="00967592">
        <w:rPr>
          <w:rFonts w:ascii="Times New Roman" w:hAnsi="Times New Roman" w:cs="Times New Roman"/>
          <w:sz w:val="24"/>
          <w:szCs w:val="24"/>
          <w:lang w:val="en-GB"/>
        </w:rPr>
        <w:t>I am using this approach for several reasons:</w:t>
      </w:r>
    </w:p>
    <w:p w:rsidR="00395190" w:rsidRPr="00967592" w:rsidRDefault="00630323" w:rsidP="00665075">
      <w:pPr>
        <w:numPr>
          <w:ilvl w:val="0"/>
          <w:numId w:val="1"/>
        </w:numPr>
        <w:spacing w:before="12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I</w:t>
      </w:r>
      <w:r w:rsidR="00395190" w:rsidRPr="00967592">
        <w:rPr>
          <w:rFonts w:ascii="Times New Roman" w:hAnsi="Times New Roman" w:cs="Times New Roman"/>
          <w:sz w:val="24"/>
          <w:szCs w:val="24"/>
          <w:lang w:val="en-GB"/>
        </w:rPr>
        <w:t>t is tempting when offered lesson descriptions to compare to make judgements about overall quality, based on beliefs about superficial features of ‘good’ lessons.  Constructing compendium lessons avoids this tendency.</w:t>
      </w:r>
    </w:p>
    <w:p w:rsidR="00395190" w:rsidRPr="00967592" w:rsidRDefault="00395190" w:rsidP="00665075">
      <w:pPr>
        <w:numPr>
          <w:ilvl w:val="0"/>
          <w:numId w:val="1"/>
        </w:numPr>
        <w:spacing w:before="120" w:line="360" w:lineRule="auto"/>
        <w:ind w:left="0"/>
        <w:rPr>
          <w:rFonts w:ascii="Times New Roman" w:hAnsi="Times New Roman" w:cs="Times New Roman"/>
          <w:sz w:val="24"/>
          <w:szCs w:val="24"/>
          <w:lang w:val="en-GB"/>
        </w:rPr>
      </w:pPr>
      <w:r w:rsidRPr="00967592">
        <w:rPr>
          <w:rFonts w:ascii="Times New Roman" w:hAnsi="Times New Roman" w:cs="Times New Roman"/>
          <w:sz w:val="24"/>
          <w:szCs w:val="24"/>
          <w:lang w:val="en-GB"/>
        </w:rPr>
        <w:t>Compendium lessons conceal the identities of teachers who may feel that their lessons are being compared unfairly, without full knowledge of previous and subsequent  lessons</w:t>
      </w:r>
    </w:p>
    <w:p w:rsidR="00395190" w:rsidRPr="00967592" w:rsidRDefault="00395190" w:rsidP="00665075">
      <w:pPr>
        <w:numPr>
          <w:ilvl w:val="0"/>
          <w:numId w:val="1"/>
        </w:numPr>
        <w:spacing w:before="120" w:line="360" w:lineRule="auto"/>
        <w:ind w:left="0"/>
        <w:rPr>
          <w:rFonts w:ascii="Times New Roman" w:hAnsi="Times New Roman" w:cs="Times New Roman"/>
          <w:sz w:val="24"/>
          <w:szCs w:val="24"/>
          <w:lang w:val="en-GB"/>
        </w:rPr>
      </w:pPr>
      <w:r w:rsidRPr="00967592">
        <w:rPr>
          <w:rFonts w:ascii="Times New Roman" w:hAnsi="Times New Roman" w:cs="Times New Roman"/>
          <w:sz w:val="24"/>
          <w:szCs w:val="24"/>
          <w:lang w:val="en-GB"/>
        </w:rPr>
        <w:t>It provides a way to include significant contrasts succinctly</w:t>
      </w:r>
    </w:p>
    <w:p w:rsidR="00395190" w:rsidRPr="00967592" w:rsidRDefault="001B7AEE" w:rsidP="00665075">
      <w:pPr>
        <w:spacing w:before="120" w:line="360" w:lineRule="auto"/>
        <w:rPr>
          <w:rFonts w:ascii="Times New Roman" w:hAnsi="Times New Roman" w:cs="Times New Roman"/>
          <w:sz w:val="24"/>
          <w:szCs w:val="24"/>
          <w:lang w:val="en-GB"/>
        </w:rPr>
      </w:pPr>
      <w:r>
        <w:rPr>
          <w:rFonts w:ascii="Times New Roman" w:hAnsi="Times New Roman" w:cs="Times New Roman"/>
          <w:sz w:val="24"/>
          <w:szCs w:val="24"/>
          <w:lang w:val="en-GB"/>
        </w:rPr>
        <w:t>As a research method</w:t>
      </w:r>
      <w:r w:rsidR="00395190" w:rsidRPr="00967592">
        <w:rPr>
          <w:rFonts w:ascii="Times New Roman" w:hAnsi="Times New Roman" w:cs="Times New Roman"/>
          <w:sz w:val="24"/>
          <w:szCs w:val="24"/>
          <w:lang w:val="en-GB"/>
        </w:rPr>
        <w:t xml:space="preserve"> this is a valid procedure because everything that is included is from an actual lesson, and hence has</w:t>
      </w:r>
      <w:r>
        <w:rPr>
          <w:rFonts w:ascii="Times New Roman" w:hAnsi="Times New Roman" w:cs="Times New Roman"/>
          <w:sz w:val="24"/>
          <w:szCs w:val="24"/>
          <w:lang w:val="en-GB"/>
        </w:rPr>
        <w:t xml:space="preserve"> authenticity and</w:t>
      </w:r>
      <w:r w:rsidR="00395190" w:rsidRPr="00967592">
        <w:rPr>
          <w:rFonts w:ascii="Times New Roman" w:hAnsi="Times New Roman" w:cs="Times New Roman"/>
          <w:sz w:val="24"/>
          <w:szCs w:val="24"/>
          <w:lang w:val="en-GB"/>
        </w:rPr>
        <w:t xml:space="preserve"> credibility</w:t>
      </w:r>
      <w:r w:rsidR="00630323">
        <w:rPr>
          <w:rFonts w:ascii="Times New Roman" w:hAnsi="Times New Roman" w:cs="Times New Roman"/>
          <w:sz w:val="24"/>
          <w:szCs w:val="24"/>
          <w:lang w:val="en-GB"/>
        </w:rPr>
        <w:t xml:space="preserve"> in the field. Further, I am going to use the compendium lessons </w:t>
      </w:r>
      <w:r w:rsidR="0064255C" w:rsidRPr="00967592">
        <w:rPr>
          <w:rFonts w:ascii="Times New Roman" w:hAnsi="Times New Roman" w:cs="Times New Roman"/>
          <w:sz w:val="24"/>
          <w:szCs w:val="24"/>
          <w:lang w:val="en-GB"/>
        </w:rPr>
        <w:t>to</w:t>
      </w:r>
      <w:r w:rsidR="00630323">
        <w:rPr>
          <w:rFonts w:ascii="Times New Roman" w:hAnsi="Times New Roman" w:cs="Times New Roman"/>
          <w:sz w:val="24"/>
          <w:szCs w:val="24"/>
          <w:lang w:val="en-GB"/>
        </w:rPr>
        <w:t xml:space="preserve"> </w:t>
      </w:r>
      <w:r w:rsidR="0064255C" w:rsidRPr="00967592">
        <w:rPr>
          <w:rFonts w:ascii="Times New Roman" w:hAnsi="Times New Roman" w:cs="Times New Roman"/>
          <w:sz w:val="24"/>
          <w:szCs w:val="24"/>
          <w:lang w:val="en-GB"/>
        </w:rPr>
        <w:t>claim</w:t>
      </w:r>
      <w:r w:rsidR="00395190" w:rsidRPr="00967592">
        <w:rPr>
          <w:rFonts w:ascii="Times New Roman" w:hAnsi="Times New Roman" w:cs="Times New Roman"/>
          <w:sz w:val="24"/>
          <w:szCs w:val="24"/>
          <w:lang w:val="en-GB"/>
        </w:rPr>
        <w:t xml:space="preserve"> is that there is a way of looking at tea</w:t>
      </w:r>
      <w:r w:rsidR="002C7BD0" w:rsidRPr="00967592">
        <w:rPr>
          <w:rFonts w:ascii="Times New Roman" w:hAnsi="Times New Roman" w:cs="Times New Roman"/>
          <w:sz w:val="24"/>
          <w:szCs w:val="24"/>
          <w:lang w:val="en-GB"/>
        </w:rPr>
        <w:t xml:space="preserve">ching that transcends </w:t>
      </w:r>
      <w:r w:rsidR="00395190" w:rsidRPr="00967592">
        <w:rPr>
          <w:rFonts w:ascii="Times New Roman" w:hAnsi="Times New Roman" w:cs="Times New Roman"/>
          <w:sz w:val="24"/>
          <w:szCs w:val="24"/>
          <w:lang w:val="en-GB"/>
        </w:rPr>
        <w:t xml:space="preserve">detailed </w:t>
      </w:r>
      <w:r w:rsidR="002C7BD0" w:rsidRPr="00967592">
        <w:rPr>
          <w:rFonts w:ascii="Times New Roman" w:hAnsi="Times New Roman" w:cs="Times New Roman"/>
          <w:sz w:val="24"/>
          <w:szCs w:val="24"/>
          <w:lang w:val="en-GB"/>
        </w:rPr>
        <w:t xml:space="preserve">lesson </w:t>
      </w:r>
      <w:r w:rsidR="00395190" w:rsidRPr="00967592">
        <w:rPr>
          <w:rFonts w:ascii="Times New Roman" w:hAnsi="Times New Roman" w:cs="Times New Roman"/>
          <w:sz w:val="24"/>
          <w:szCs w:val="24"/>
          <w:lang w:val="en-GB"/>
        </w:rPr>
        <w:t>descri</w:t>
      </w:r>
      <w:r w:rsidR="002C7BD0" w:rsidRPr="00967592">
        <w:rPr>
          <w:rFonts w:ascii="Times New Roman" w:hAnsi="Times New Roman" w:cs="Times New Roman"/>
          <w:sz w:val="24"/>
          <w:szCs w:val="24"/>
          <w:lang w:val="en-GB"/>
        </w:rPr>
        <w:t>ptions</w:t>
      </w:r>
      <w:r>
        <w:rPr>
          <w:rFonts w:ascii="Times New Roman" w:hAnsi="Times New Roman" w:cs="Times New Roman"/>
          <w:sz w:val="24"/>
          <w:szCs w:val="24"/>
          <w:lang w:val="en-GB"/>
        </w:rPr>
        <w:t>. C</w:t>
      </w:r>
      <w:r w:rsidR="0064255C" w:rsidRPr="00967592">
        <w:rPr>
          <w:rFonts w:ascii="Times New Roman" w:hAnsi="Times New Roman" w:cs="Times New Roman"/>
          <w:sz w:val="24"/>
          <w:szCs w:val="24"/>
          <w:lang w:val="en-GB"/>
        </w:rPr>
        <w:t>ompendium lessons are fit for this purpose</w:t>
      </w:r>
      <w:r>
        <w:rPr>
          <w:rFonts w:ascii="Times New Roman" w:hAnsi="Times New Roman" w:cs="Times New Roman"/>
          <w:sz w:val="24"/>
          <w:szCs w:val="24"/>
          <w:lang w:val="en-GB"/>
        </w:rPr>
        <w:t xml:space="preserve"> because my final claim does not rest in individual details</w:t>
      </w:r>
      <w:r w:rsidR="0064255C" w:rsidRPr="00967592">
        <w:rPr>
          <w:rFonts w:ascii="Times New Roman" w:hAnsi="Times New Roman" w:cs="Times New Roman"/>
          <w:sz w:val="24"/>
          <w:szCs w:val="24"/>
          <w:lang w:val="en-GB"/>
        </w:rPr>
        <w:t>.</w:t>
      </w:r>
    </w:p>
    <w:p w:rsidR="00395190" w:rsidRPr="00967592" w:rsidRDefault="00B67183" w:rsidP="00B67183">
      <w:pPr>
        <w:pStyle w:val="Heading2"/>
        <w:rPr>
          <w:rFonts w:ascii="Times New Roman" w:hAnsi="Times New Roman" w:cs="Times New Roman"/>
          <w:sz w:val="24"/>
          <w:szCs w:val="24"/>
          <w:lang w:val="en-GB"/>
        </w:rPr>
      </w:pPr>
      <w:r w:rsidRPr="00967592">
        <w:rPr>
          <w:rFonts w:ascii="Times New Roman" w:hAnsi="Times New Roman" w:cs="Times New Roman"/>
          <w:sz w:val="24"/>
          <w:szCs w:val="24"/>
          <w:lang w:val="en-GB"/>
        </w:rPr>
        <w:lastRenderedPageBreak/>
        <w:t>Lesson one</w:t>
      </w:r>
    </w:p>
    <w:p w:rsidR="00A279A7" w:rsidRPr="00967592" w:rsidRDefault="00B67183" w:rsidP="00A279A7">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The lesson started with students working</w:t>
      </w:r>
      <w:r w:rsidR="00916C87" w:rsidRPr="00967592">
        <w:rPr>
          <w:rFonts w:ascii="Times New Roman" w:hAnsi="Times New Roman" w:cs="Times New Roman"/>
          <w:sz w:val="24"/>
          <w:szCs w:val="24"/>
          <w:lang w:val="en-GB"/>
        </w:rPr>
        <w:t xml:space="preserve"> </w:t>
      </w:r>
      <w:r w:rsidR="00D06326" w:rsidRPr="00967592">
        <w:rPr>
          <w:rFonts w:ascii="Times New Roman" w:hAnsi="Times New Roman" w:cs="Times New Roman"/>
          <w:sz w:val="24"/>
          <w:szCs w:val="24"/>
          <w:lang w:val="en-GB"/>
        </w:rPr>
        <w:t>as a class, with guidance from</w:t>
      </w:r>
      <w:r w:rsidRPr="00967592">
        <w:rPr>
          <w:rFonts w:ascii="Times New Roman" w:hAnsi="Times New Roman" w:cs="Times New Roman"/>
          <w:sz w:val="24"/>
          <w:szCs w:val="24"/>
          <w:lang w:val="en-GB"/>
        </w:rPr>
        <w:t xml:space="preserve"> the teacher, </w:t>
      </w:r>
      <w:r w:rsidR="00916C87" w:rsidRPr="00967592">
        <w:rPr>
          <w:rFonts w:ascii="Times New Roman" w:hAnsi="Times New Roman" w:cs="Times New Roman"/>
          <w:sz w:val="24"/>
          <w:szCs w:val="24"/>
          <w:lang w:val="en-GB"/>
        </w:rPr>
        <w:t xml:space="preserve">working out </w:t>
      </w:r>
      <w:r w:rsidRPr="00967592">
        <w:rPr>
          <w:rFonts w:ascii="Times New Roman" w:hAnsi="Times New Roman" w:cs="Times New Roman"/>
          <w:sz w:val="24"/>
          <w:szCs w:val="24"/>
          <w:lang w:val="en-GB"/>
        </w:rPr>
        <w:t>how to use a pair of compasses</w:t>
      </w:r>
      <w:r w:rsidR="00665075" w:rsidRPr="00967592">
        <w:rPr>
          <w:rFonts w:ascii="Times New Roman" w:hAnsi="Times New Roman" w:cs="Times New Roman"/>
          <w:sz w:val="24"/>
          <w:szCs w:val="24"/>
          <w:lang w:val="en-GB"/>
        </w:rPr>
        <w:t xml:space="preserve"> to construct circles</w:t>
      </w:r>
      <w:r w:rsidR="00D06326" w:rsidRPr="00967592">
        <w:rPr>
          <w:rFonts w:ascii="Times New Roman" w:hAnsi="Times New Roman" w:cs="Times New Roman"/>
          <w:sz w:val="24"/>
          <w:szCs w:val="24"/>
          <w:lang w:val="en-GB"/>
        </w:rPr>
        <w:t xml:space="preserve">, </w:t>
      </w:r>
      <w:r w:rsidRPr="00967592">
        <w:rPr>
          <w:rFonts w:ascii="Times New Roman" w:hAnsi="Times New Roman" w:cs="Times New Roman"/>
          <w:sz w:val="24"/>
          <w:szCs w:val="24"/>
          <w:lang w:val="en-GB"/>
        </w:rPr>
        <w:t xml:space="preserve">a locus with constant distance from a straight-line segment, </w:t>
      </w:r>
      <w:r w:rsidR="00D06326" w:rsidRPr="00967592">
        <w:rPr>
          <w:rFonts w:ascii="Times New Roman" w:hAnsi="Times New Roman" w:cs="Times New Roman"/>
          <w:sz w:val="24"/>
          <w:szCs w:val="24"/>
          <w:lang w:val="en-GB"/>
        </w:rPr>
        <w:t>perpendicular bisectors and angle bisectors</w:t>
      </w:r>
      <w:r w:rsidRPr="00967592">
        <w:rPr>
          <w:rFonts w:ascii="Times New Roman" w:hAnsi="Times New Roman" w:cs="Times New Roman"/>
          <w:sz w:val="24"/>
          <w:szCs w:val="24"/>
          <w:lang w:val="en-GB"/>
        </w:rPr>
        <w:t xml:space="preserve">.  </w:t>
      </w:r>
      <w:r w:rsidR="00916C87" w:rsidRPr="00967592">
        <w:rPr>
          <w:rFonts w:ascii="Times New Roman" w:hAnsi="Times New Roman" w:cs="Times New Roman"/>
          <w:sz w:val="24"/>
          <w:szCs w:val="24"/>
          <w:lang w:val="en-GB"/>
        </w:rPr>
        <w:t>T</w:t>
      </w:r>
      <w:r w:rsidRPr="00967592">
        <w:rPr>
          <w:rFonts w:ascii="Times New Roman" w:hAnsi="Times New Roman" w:cs="Times New Roman"/>
          <w:sz w:val="24"/>
          <w:szCs w:val="24"/>
          <w:lang w:val="en-GB"/>
        </w:rPr>
        <w:t>he teacher repeatedly referred to compasses as the tool for reproducing equal lengths: he said this himself, and also asked students ‘what can we use to get equal lengths?’ and ‘what do compasses do for us?’ and ‘why would I use the compasses?’ S</w:t>
      </w:r>
      <w:r w:rsidR="00D06326" w:rsidRPr="00967592">
        <w:rPr>
          <w:rFonts w:ascii="Times New Roman" w:hAnsi="Times New Roman" w:cs="Times New Roman"/>
          <w:sz w:val="24"/>
          <w:szCs w:val="24"/>
          <w:lang w:val="en-GB"/>
        </w:rPr>
        <w:t>tudents were then asked to compare</w:t>
      </w:r>
      <w:r w:rsidRPr="00967592">
        <w:rPr>
          <w:rFonts w:ascii="Times New Roman" w:hAnsi="Times New Roman" w:cs="Times New Roman"/>
          <w:sz w:val="24"/>
          <w:szCs w:val="24"/>
          <w:lang w:val="en-GB"/>
        </w:rPr>
        <w:t xml:space="preserve"> the perpendicular bisector and angle bisector constructions, and to identify the role of compasses within these.  The words ‘same distance’ and ’equidistant’ were used frequently throughout the lesson.  The teacher invited students to demonstrate their ideas on the board, and also used the strategy of placing ‘wrong’ points to encourage students to understand the role of constraints. </w:t>
      </w:r>
      <w:r w:rsidR="00916C87" w:rsidRPr="00967592">
        <w:rPr>
          <w:rFonts w:ascii="Times New Roman" w:hAnsi="Times New Roman" w:cs="Times New Roman"/>
          <w:sz w:val="24"/>
          <w:szCs w:val="24"/>
          <w:lang w:val="en-GB"/>
        </w:rPr>
        <w:t>T</w:t>
      </w:r>
      <w:r w:rsidRPr="00967592">
        <w:rPr>
          <w:rFonts w:ascii="Times New Roman" w:hAnsi="Times New Roman" w:cs="Times New Roman"/>
          <w:sz w:val="24"/>
          <w:szCs w:val="24"/>
          <w:lang w:val="en-GB"/>
        </w:rPr>
        <w:t>he physical activity took place at the</w:t>
      </w:r>
      <w:r w:rsidR="00A279A7" w:rsidRPr="00967592">
        <w:rPr>
          <w:rFonts w:ascii="Times New Roman" w:hAnsi="Times New Roman" w:cs="Times New Roman"/>
          <w:sz w:val="24"/>
          <w:szCs w:val="24"/>
          <w:lang w:val="en-GB"/>
        </w:rPr>
        <w:t xml:space="preserve"> end of the lesson, and was treated briefly</w:t>
      </w:r>
      <w:r w:rsidRPr="00967592">
        <w:rPr>
          <w:rFonts w:ascii="Times New Roman" w:hAnsi="Times New Roman" w:cs="Times New Roman"/>
          <w:sz w:val="24"/>
          <w:szCs w:val="24"/>
          <w:lang w:val="en-GB"/>
        </w:rPr>
        <w:t xml:space="preserve"> as a summary of the rest of the lesson.  </w:t>
      </w:r>
      <w:r w:rsidR="00916C87" w:rsidRPr="00967592">
        <w:rPr>
          <w:rFonts w:ascii="Times New Roman" w:hAnsi="Times New Roman" w:cs="Times New Roman"/>
          <w:sz w:val="24"/>
          <w:szCs w:val="24"/>
          <w:lang w:val="en-GB"/>
        </w:rPr>
        <w:t>Technical language was used throughout.</w:t>
      </w:r>
      <w:r w:rsidR="00A279A7" w:rsidRPr="00967592">
        <w:rPr>
          <w:rFonts w:ascii="Times New Roman" w:hAnsi="Times New Roman" w:cs="Times New Roman"/>
          <w:sz w:val="24"/>
          <w:szCs w:val="24"/>
          <w:lang w:val="en-GB"/>
        </w:rPr>
        <w:t xml:space="preserve"> </w:t>
      </w:r>
    </w:p>
    <w:p w:rsidR="00A279A7" w:rsidRPr="00967592" w:rsidRDefault="00A279A7" w:rsidP="00A279A7">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The focus on the power of the tool was reinforced by comparing its role in constructing the two different bisectors, so that students were looking at the positions of, and relationships between, the equal lengths are in the constructions. By taking this approach, learners were able to talk about relationships within the diagrams as if they were caused by the equal lengths, rather than equal lengths merely being a drawing method. It was made possible for them, by this focus, to get a sense of classical geometrical tradition.  The physical activity at the end used the same language of ‘equal lengths’ in instructions and descriptively where necessary and offered no further </w:t>
      </w:r>
      <w:r w:rsidR="001B7AEE">
        <w:rPr>
          <w:rFonts w:ascii="Times New Roman" w:hAnsi="Times New Roman" w:cs="Times New Roman"/>
          <w:sz w:val="24"/>
          <w:szCs w:val="24"/>
          <w:lang w:val="en-GB"/>
        </w:rPr>
        <w:t xml:space="preserve">public </w:t>
      </w:r>
      <w:r w:rsidRPr="00967592">
        <w:rPr>
          <w:rFonts w:ascii="Times New Roman" w:hAnsi="Times New Roman" w:cs="Times New Roman"/>
          <w:sz w:val="24"/>
          <w:szCs w:val="24"/>
          <w:lang w:val="en-GB"/>
        </w:rPr>
        <w:t>engagement of mathematical thinking, merely rehearsal in a different context, using a different representation, with nothing said about how to make equal lengths in physical action.</w:t>
      </w:r>
    </w:p>
    <w:p w:rsidR="00AF3D93" w:rsidRPr="00967592" w:rsidRDefault="00916C87" w:rsidP="00916C87">
      <w:pPr>
        <w:pStyle w:val="Heading2"/>
        <w:rPr>
          <w:rFonts w:ascii="Times New Roman" w:hAnsi="Times New Roman" w:cs="Times New Roman"/>
          <w:sz w:val="24"/>
          <w:szCs w:val="24"/>
          <w:lang w:val="en-GB"/>
        </w:rPr>
      </w:pPr>
      <w:r w:rsidRPr="00967592">
        <w:rPr>
          <w:rFonts w:ascii="Times New Roman" w:hAnsi="Times New Roman" w:cs="Times New Roman"/>
          <w:sz w:val="24"/>
          <w:szCs w:val="24"/>
          <w:lang w:val="en-GB"/>
        </w:rPr>
        <w:t>L</w:t>
      </w:r>
      <w:r w:rsidR="0093498E" w:rsidRPr="00967592">
        <w:rPr>
          <w:rFonts w:ascii="Times New Roman" w:hAnsi="Times New Roman" w:cs="Times New Roman"/>
          <w:sz w:val="24"/>
          <w:szCs w:val="24"/>
          <w:lang w:val="en-GB"/>
        </w:rPr>
        <w:t>esson</w:t>
      </w:r>
      <w:r w:rsidRPr="00967592">
        <w:rPr>
          <w:rFonts w:ascii="Times New Roman" w:hAnsi="Times New Roman" w:cs="Times New Roman"/>
          <w:sz w:val="24"/>
          <w:szCs w:val="24"/>
          <w:lang w:val="en-GB"/>
        </w:rPr>
        <w:t xml:space="preserve"> two</w:t>
      </w:r>
    </w:p>
    <w:p w:rsidR="00916C87" w:rsidRPr="00967592" w:rsidRDefault="00916C87" w:rsidP="00665075">
      <w:pPr>
        <w:pStyle w:val="Heading4"/>
        <w:spacing w:before="120" w:after="0" w:line="360" w:lineRule="auto"/>
        <w:rPr>
          <w:b w:val="0"/>
          <w:sz w:val="24"/>
          <w:szCs w:val="24"/>
          <w:lang w:val="en-GB"/>
        </w:rPr>
      </w:pPr>
      <w:r w:rsidRPr="00967592">
        <w:rPr>
          <w:b w:val="0"/>
          <w:sz w:val="24"/>
          <w:szCs w:val="24"/>
          <w:lang w:val="en-GB"/>
        </w:rPr>
        <w:t xml:space="preserve">In this lesson, students were asked to locate points which fulfilled certain rules: points which are all the same distance from another point, two points, two lines and so on.  This was done on the whiteboard with discussion, and also on paper, the initial approach being consisting of rough diagram and reasoning, and compasses being introduced later as a way of joining up the points for the circle and locating particular points.  The emphasis </w:t>
      </w:r>
      <w:r w:rsidRPr="00967592">
        <w:rPr>
          <w:b w:val="0"/>
          <w:sz w:val="24"/>
          <w:szCs w:val="24"/>
          <w:lang w:val="en-GB"/>
        </w:rPr>
        <w:lastRenderedPageBreak/>
        <w:t>was on how to use them, rather than why they worked. The predominant language was about points which ‘obey rules’. The word ‘locus’ was introduced during discussion of where all such points would be. During the second part of the lesson students took part in the physical repre</w:t>
      </w:r>
      <w:r w:rsidR="00A279A7" w:rsidRPr="00967592">
        <w:rPr>
          <w:b w:val="0"/>
          <w:sz w:val="24"/>
          <w:szCs w:val="24"/>
          <w:lang w:val="en-GB"/>
        </w:rPr>
        <w:t>sentation of loci in response to the same language as was used to find points. It appeared that the students were expected to link the different parts of the lesson</w:t>
      </w:r>
      <w:r w:rsidR="00E2473C" w:rsidRPr="00967592">
        <w:rPr>
          <w:b w:val="0"/>
          <w:sz w:val="24"/>
          <w:szCs w:val="24"/>
          <w:lang w:val="en-GB"/>
        </w:rPr>
        <w:t xml:space="preserve"> (pencil and paper construction, whiteboard drawing and physical activity) </w:t>
      </w:r>
      <w:r w:rsidR="00A279A7" w:rsidRPr="00967592">
        <w:rPr>
          <w:b w:val="0"/>
          <w:sz w:val="24"/>
          <w:szCs w:val="24"/>
          <w:lang w:val="en-GB"/>
        </w:rPr>
        <w:t>through the use of the same language to express the same ‘rules’ for placing points and people, and an increasing use of the word ‘locus’.</w:t>
      </w:r>
      <w:r w:rsidR="00E2473C" w:rsidRPr="00967592">
        <w:rPr>
          <w:sz w:val="24"/>
          <w:szCs w:val="24"/>
          <w:lang w:val="en-GB"/>
        </w:rPr>
        <w:t xml:space="preserve"> </w:t>
      </w:r>
      <w:r w:rsidR="00E2473C" w:rsidRPr="00967592">
        <w:rPr>
          <w:b w:val="0"/>
          <w:sz w:val="24"/>
          <w:szCs w:val="24"/>
          <w:lang w:val="en-GB"/>
        </w:rPr>
        <w:t>One student called out: ‘this is what we have just done!’</w:t>
      </w:r>
    </w:p>
    <w:p w:rsidR="00A279A7" w:rsidRPr="00967592" w:rsidRDefault="00A279A7" w:rsidP="00A279A7">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In each case the emphasis was on collections of points, each of which has a particular property, and on joining up the points. The role of the compasses was not emphasised; they were treated as a means to join up points which are equidistant from other points.  Verbal instructions about finding individual points with properties were the most repeated sound </w:t>
      </w:r>
      <w:r w:rsidR="00E2473C" w:rsidRPr="00967592">
        <w:rPr>
          <w:rFonts w:ascii="Times New Roman" w:hAnsi="Times New Roman" w:cs="Times New Roman"/>
          <w:sz w:val="24"/>
          <w:szCs w:val="24"/>
          <w:lang w:val="en-GB"/>
        </w:rPr>
        <w:t>of the lesson.</w:t>
      </w:r>
    </w:p>
    <w:p w:rsidR="00AF3D93" w:rsidRPr="00967592" w:rsidRDefault="00916C87" w:rsidP="00916C87">
      <w:pPr>
        <w:pStyle w:val="Heading2"/>
        <w:rPr>
          <w:rFonts w:ascii="Times New Roman" w:hAnsi="Times New Roman" w:cs="Times New Roman"/>
          <w:sz w:val="24"/>
          <w:szCs w:val="24"/>
          <w:lang w:val="en-GB"/>
        </w:rPr>
      </w:pPr>
      <w:r w:rsidRPr="00967592">
        <w:rPr>
          <w:rFonts w:ascii="Times New Roman" w:hAnsi="Times New Roman" w:cs="Times New Roman"/>
          <w:sz w:val="24"/>
          <w:szCs w:val="24"/>
          <w:lang w:val="en-GB"/>
        </w:rPr>
        <w:t>Lesson three</w:t>
      </w:r>
    </w:p>
    <w:p w:rsidR="00AF3D93" w:rsidRPr="00967592" w:rsidRDefault="00A279A7" w:rsidP="00665075">
      <w:pPr>
        <w:pStyle w:val="Heading4"/>
        <w:spacing w:before="120" w:after="0" w:line="360" w:lineRule="auto"/>
        <w:rPr>
          <w:b w:val="0"/>
          <w:sz w:val="24"/>
          <w:szCs w:val="24"/>
          <w:lang w:val="en-GB"/>
        </w:rPr>
      </w:pPr>
      <w:r w:rsidRPr="00967592">
        <w:rPr>
          <w:b w:val="0"/>
          <w:sz w:val="24"/>
          <w:szCs w:val="24"/>
          <w:lang w:val="en-GB"/>
        </w:rPr>
        <w:t xml:space="preserve">In the third lesson, the physical activity took place first, and the teacher offered a story to encourage visualisation: standing the same distance from two trees; steering a ship between two icebergs.  Students then returned to the classroom and were asked to construct the same loci as had been acted out physically.  </w:t>
      </w:r>
    </w:p>
    <w:p w:rsidR="00D06326" w:rsidRPr="00967592" w:rsidRDefault="00E2473C" w:rsidP="00665075">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T</w:t>
      </w:r>
      <w:r w:rsidR="00C21C19" w:rsidRPr="00967592">
        <w:rPr>
          <w:rFonts w:ascii="Times New Roman" w:hAnsi="Times New Roman" w:cs="Times New Roman"/>
          <w:sz w:val="24"/>
          <w:szCs w:val="24"/>
          <w:lang w:val="en-GB"/>
        </w:rPr>
        <w:t xml:space="preserve">he physical activity happened first so that students were expected to have some memory to draw on when they came to make constructions in pencil and paper.  No public instructions for constructing were given, instead students were asked to work out how to do them using their memories.  The teacher worked hard with small groups of students asking them what they remembered and how they could reproduce it.  In general she said ‘you can use the compasses’ when equal lengths were needed, sometimes showing them how to do it and then asking them to do it again for themselves. A significant amount of time was given at the end of the lesson to the task of developing statements that linked the physical activity to the pencil-and-paper constructions. Students had to express the </w:t>
      </w:r>
      <w:proofErr w:type="spellStart"/>
      <w:r w:rsidR="00C21C19" w:rsidRPr="00967592">
        <w:rPr>
          <w:rFonts w:ascii="Times New Roman" w:hAnsi="Times New Roman" w:cs="Times New Roman"/>
          <w:sz w:val="24"/>
          <w:szCs w:val="24"/>
          <w:lang w:val="en-GB"/>
        </w:rPr>
        <w:t>isomorphisms</w:t>
      </w:r>
      <w:proofErr w:type="spellEnd"/>
      <w:r w:rsidR="00C21C19" w:rsidRPr="00967592">
        <w:rPr>
          <w:rFonts w:ascii="Times New Roman" w:hAnsi="Times New Roman" w:cs="Times New Roman"/>
          <w:sz w:val="24"/>
          <w:szCs w:val="24"/>
          <w:lang w:val="en-GB"/>
        </w:rPr>
        <w:t xml:space="preserve"> between the situations.</w:t>
      </w:r>
    </w:p>
    <w:p w:rsidR="00E2473C" w:rsidRPr="00967592" w:rsidRDefault="00E2473C" w:rsidP="00E2473C">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lastRenderedPageBreak/>
        <w:t xml:space="preserve">Discussion </w:t>
      </w:r>
    </w:p>
    <w:p w:rsidR="002C7BD0" w:rsidRPr="00967592" w:rsidRDefault="00E2473C" w:rsidP="00E2473C">
      <w:pPr>
        <w:pStyle w:val="Heading1"/>
        <w:rPr>
          <w:rFonts w:ascii="Times New Roman" w:hAnsi="Times New Roman" w:cs="Times New Roman"/>
          <w:b w:val="0"/>
          <w:sz w:val="24"/>
          <w:szCs w:val="24"/>
          <w:lang w:val="en-GB"/>
        </w:rPr>
      </w:pPr>
      <w:r w:rsidRPr="00967592">
        <w:rPr>
          <w:rFonts w:ascii="Times New Roman" w:hAnsi="Times New Roman" w:cs="Times New Roman"/>
          <w:b w:val="0"/>
          <w:sz w:val="24"/>
          <w:szCs w:val="24"/>
          <w:lang w:val="en-GB"/>
        </w:rPr>
        <w:t>T</w:t>
      </w:r>
      <w:r w:rsidR="00665075" w:rsidRPr="00967592">
        <w:rPr>
          <w:rFonts w:ascii="Times New Roman" w:hAnsi="Times New Roman" w:cs="Times New Roman"/>
          <w:b w:val="0"/>
          <w:sz w:val="24"/>
          <w:szCs w:val="24"/>
          <w:lang w:val="en-GB"/>
        </w:rPr>
        <w:t xml:space="preserve">he three lessons were likely to have left different traces in students’ minds about what the key ideas were about loci: </w:t>
      </w:r>
    </w:p>
    <w:p w:rsidR="002C7BD0" w:rsidRPr="00967592" w:rsidRDefault="00665075" w:rsidP="002C7BD0">
      <w:pPr>
        <w:numPr>
          <w:ilvl w:val="0"/>
          <w:numId w:val="2"/>
        </w:num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trajectories derived from relationships between equal lengths; </w:t>
      </w:r>
    </w:p>
    <w:p w:rsidR="002C7BD0" w:rsidRPr="00967592" w:rsidRDefault="00665075" w:rsidP="002C7BD0">
      <w:pPr>
        <w:numPr>
          <w:ilvl w:val="0"/>
          <w:numId w:val="2"/>
        </w:num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sets of points whi</w:t>
      </w:r>
      <w:r w:rsidR="002C7BD0" w:rsidRPr="00967592">
        <w:rPr>
          <w:rFonts w:ascii="Times New Roman" w:hAnsi="Times New Roman" w:cs="Times New Roman"/>
          <w:sz w:val="24"/>
          <w:szCs w:val="24"/>
          <w:lang w:val="en-GB"/>
        </w:rPr>
        <w:t xml:space="preserve">ch have certain properties; </w:t>
      </w:r>
    </w:p>
    <w:p w:rsidR="002C7BD0" w:rsidRPr="00967592" w:rsidRDefault="00665075" w:rsidP="002C7BD0">
      <w:pPr>
        <w:numPr>
          <w:ilvl w:val="0"/>
          <w:numId w:val="2"/>
        </w:num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 xml:space="preserve">reproductive constructions of physical situations. </w:t>
      </w:r>
    </w:p>
    <w:p w:rsidR="00C21C19" w:rsidRPr="00967592" w:rsidRDefault="00396A4D" w:rsidP="002C7BD0">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From a mathematical viewpoint these are equivalent, but in terms of learning experience they are different and memory of the lesson content is likely to be triggered by di</w:t>
      </w:r>
      <w:r w:rsidR="002C7BD0" w:rsidRPr="00967592">
        <w:rPr>
          <w:rFonts w:ascii="Times New Roman" w:hAnsi="Times New Roman" w:cs="Times New Roman"/>
          <w:sz w:val="24"/>
          <w:szCs w:val="24"/>
          <w:lang w:val="en-GB"/>
        </w:rPr>
        <w:t xml:space="preserve">fferent stimuli in future. </w:t>
      </w:r>
      <w:r w:rsidR="00665075" w:rsidRPr="00967592">
        <w:rPr>
          <w:rFonts w:ascii="Times New Roman" w:hAnsi="Times New Roman" w:cs="Times New Roman"/>
          <w:sz w:val="24"/>
          <w:szCs w:val="24"/>
          <w:lang w:val="en-GB"/>
        </w:rPr>
        <w:t xml:space="preserve"> </w:t>
      </w:r>
      <w:r w:rsidR="002C7BD0" w:rsidRPr="00967592">
        <w:rPr>
          <w:rFonts w:ascii="Times New Roman" w:hAnsi="Times New Roman" w:cs="Times New Roman"/>
          <w:sz w:val="24"/>
          <w:szCs w:val="24"/>
          <w:lang w:val="en-GB"/>
        </w:rPr>
        <w:t xml:space="preserve">I </w:t>
      </w:r>
      <w:r w:rsidR="00665075" w:rsidRPr="00967592">
        <w:rPr>
          <w:rFonts w:ascii="Times New Roman" w:hAnsi="Times New Roman" w:cs="Times New Roman"/>
          <w:sz w:val="24"/>
          <w:szCs w:val="24"/>
          <w:lang w:val="en-GB"/>
        </w:rPr>
        <w:t>am reluctant to arrange these in any sort of hierarchy of mathematical</w:t>
      </w:r>
      <w:r w:rsidR="008E171F" w:rsidRPr="00967592">
        <w:rPr>
          <w:rFonts w:ascii="Times New Roman" w:hAnsi="Times New Roman" w:cs="Times New Roman"/>
          <w:sz w:val="24"/>
          <w:szCs w:val="24"/>
          <w:lang w:val="en-GB"/>
        </w:rPr>
        <w:t xml:space="preserve"> challenge: each invites learners to shift from obvious, intuitive visual and physical responses to the more formal, ‘scientific’, responses required for mathematics</w:t>
      </w:r>
      <w:r w:rsidRPr="00967592">
        <w:rPr>
          <w:rFonts w:ascii="Times New Roman" w:hAnsi="Times New Roman" w:cs="Times New Roman"/>
          <w:sz w:val="24"/>
          <w:szCs w:val="24"/>
          <w:lang w:val="en-GB"/>
        </w:rPr>
        <w:t>.</w:t>
      </w:r>
      <w:r w:rsidR="002C7BD0" w:rsidRPr="00967592">
        <w:rPr>
          <w:rFonts w:ascii="Times New Roman" w:hAnsi="Times New Roman" w:cs="Times New Roman"/>
          <w:sz w:val="24"/>
          <w:szCs w:val="24"/>
          <w:lang w:val="en-GB"/>
        </w:rPr>
        <w:t xml:space="preserve"> In each of these</w:t>
      </w:r>
      <w:r w:rsidR="008E171F" w:rsidRPr="00967592">
        <w:rPr>
          <w:rFonts w:ascii="Times New Roman" w:hAnsi="Times New Roman" w:cs="Times New Roman"/>
          <w:sz w:val="24"/>
          <w:szCs w:val="24"/>
          <w:lang w:val="en-GB"/>
        </w:rPr>
        <w:t xml:space="preserve"> lessons</w:t>
      </w:r>
      <w:r w:rsidR="002C7BD0" w:rsidRPr="00967592">
        <w:rPr>
          <w:rFonts w:ascii="Times New Roman" w:hAnsi="Times New Roman" w:cs="Times New Roman"/>
          <w:sz w:val="24"/>
          <w:szCs w:val="24"/>
          <w:lang w:val="en-GB"/>
        </w:rPr>
        <w:t xml:space="preserve"> there are emphases on relationships between variables, properties, reasoning about properties and relationships among properties, so availab</w:t>
      </w:r>
      <w:r w:rsidR="00E2473C" w:rsidRPr="00967592">
        <w:rPr>
          <w:rFonts w:ascii="Times New Roman" w:hAnsi="Times New Roman" w:cs="Times New Roman"/>
          <w:sz w:val="24"/>
          <w:szCs w:val="24"/>
          <w:lang w:val="en-GB"/>
        </w:rPr>
        <w:t xml:space="preserve">le hierarchies based on assumptions about cognitive challenge and ways of seeing (e.g. van </w:t>
      </w:r>
      <w:proofErr w:type="spellStart"/>
      <w:r w:rsidR="00E2473C" w:rsidRPr="00967592">
        <w:rPr>
          <w:rFonts w:ascii="Times New Roman" w:hAnsi="Times New Roman" w:cs="Times New Roman"/>
          <w:sz w:val="24"/>
          <w:szCs w:val="24"/>
          <w:lang w:val="en-GB"/>
        </w:rPr>
        <w:t>Hiele</w:t>
      </w:r>
      <w:proofErr w:type="spellEnd"/>
      <w:r w:rsidR="00654F9E" w:rsidRPr="00967592">
        <w:rPr>
          <w:rFonts w:ascii="Times New Roman" w:hAnsi="Times New Roman" w:cs="Times New Roman"/>
          <w:sz w:val="24"/>
          <w:szCs w:val="24"/>
          <w:lang w:val="en-GB"/>
        </w:rPr>
        <w:t xml:space="preserve"> 1959</w:t>
      </w:r>
      <w:r w:rsidR="002C7BD0" w:rsidRPr="00967592">
        <w:rPr>
          <w:rFonts w:ascii="Times New Roman" w:hAnsi="Times New Roman" w:cs="Times New Roman"/>
          <w:sz w:val="24"/>
          <w:szCs w:val="24"/>
          <w:lang w:val="en-GB"/>
        </w:rPr>
        <w:t xml:space="preserve">) do not identify difference – and yet different mathematics is learnt – or at least the ‘same’ mathematics seen, described, </w:t>
      </w:r>
      <w:r w:rsidR="00E2473C" w:rsidRPr="00967592">
        <w:rPr>
          <w:rFonts w:ascii="Times New Roman" w:hAnsi="Times New Roman" w:cs="Times New Roman"/>
          <w:sz w:val="24"/>
          <w:szCs w:val="24"/>
          <w:lang w:val="en-GB"/>
        </w:rPr>
        <w:t xml:space="preserve">and </w:t>
      </w:r>
      <w:r w:rsidR="002C7BD0" w:rsidRPr="00967592">
        <w:rPr>
          <w:rFonts w:ascii="Times New Roman" w:hAnsi="Times New Roman" w:cs="Times New Roman"/>
          <w:sz w:val="24"/>
          <w:szCs w:val="24"/>
          <w:lang w:val="en-GB"/>
        </w:rPr>
        <w:t>triggered in different ways.</w:t>
      </w:r>
      <w:r w:rsidR="001B7AEE">
        <w:rPr>
          <w:rFonts w:ascii="Times New Roman" w:hAnsi="Times New Roman" w:cs="Times New Roman"/>
          <w:sz w:val="24"/>
          <w:szCs w:val="24"/>
          <w:lang w:val="en-GB"/>
        </w:rPr>
        <w:t xml:space="preserve"> It is important to sustain the delicacy of these differences in mathematical terms, rather than to dive into pedagogic differences between the lessons</w:t>
      </w:r>
      <w:r w:rsidR="00017599">
        <w:rPr>
          <w:rFonts w:ascii="Times New Roman" w:hAnsi="Times New Roman" w:cs="Times New Roman"/>
          <w:sz w:val="24"/>
          <w:szCs w:val="24"/>
          <w:lang w:val="en-GB"/>
        </w:rPr>
        <w:t xml:space="preserve"> (e.g. how much </w:t>
      </w:r>
      <w:proofErr w:type="spellStart"/>
      <w:r w:rsidR="00017599">
        <w:rPr>
          <w:rFonts w:ascii="Times New Roman" w:hAnsi="Times New Roman" w:cs="Times New Roman"/>
          <w:sz w:val="24"/>
          <w:szCs w:val="24"/>
          <w:lang w:val="en-GB"/>
        </w:rPr>
        <w:t>groupwork</w:t>
      </w:r>
      <w:proofErr w:type="spellEnd"/>
      <w:r w:rsidR="00017599">
        <w:rPr>
          <w:rFonts w:ascii="Times New Roman" w:hAnsi="Times New Roman" w:cs="Times New Roman"/>
          <w:sz w:val="24"/>
          <w:szCs w:val="24"/>
          <w:lang w:val="en-GB"/>
        </w:rPr>
        <w:t>, what sort of questions, patterns if interaction etc.)</w:t>
      </w:r>
      <w:r w:rsidR="001B7AEE">
        <w:rPr>
          <w:rFonts w:ascii="Times New Roman" w:hAnsi="Times New Roman" w:cs="Times New Roman"/>
          <w:sz w:val="24"/>
          <w:szCs w:val="24"/>
          <w:lang w:val="en-GB"/>
        </w:rPr>
        <w:t xml:space="preserve"> which will give </w:t>
      </w:r>
      <w:r w:rsidR="00017599">
        <w:rPr>
          <w:rFonts w:ascii="Times New Roman" w:hAnsi="Times New Roman" w:cs="Times New Roman"/>
          <w:sz w:val="24"/>
          <w:szCs w:val="24"/>
          <w:lang w:val="en-GB"/>
        </w:rPr>
        <w:t>more information about some aspects of the lessons</w:t>
      </w:r>
      <w:r w:rsidR="001B7AEE">
        <w:rPr>
          <w:rFonts w:ascii="Times New Roman" w:hAnsi="Times New Roman" w:cs="Times New Roman"/>
          <w:sz w:val="24"/>
          <w:szCs w:val="24"/>
          <w:lang w:val="en-GB"/>
        </w:rPr>
        <w:t xml:space="preserve"> but less information about mathematical </w:t>
      </w:r>
      <w:r w:rsidR="00017599">
        <w:rPr>
          <w:rFonts w:ascii="Times New Roman" w:hAnsi="Times New Roman" w:cs="Times New Roman"/>
          <w:sz w:val="24"/>
          <w:szCs w:val="24"/>
          <w:lang w:val="en-GB"/>
        </w:rPr>
        <w:t xml:space="preserve">didactic </w:t>
      </w:r>
      <w:r w:rsidR="001B7AEE">
        <w:rPr>
          <w:rFonts w:ascii="Times New Roman" w:hAnsi="Times New Roman" w:cs="Times New Roman"/>
          <w:sz w:val="24"/>
          <w:szCs w:val="24"/>
          <w:lang w:val="en-GB"/>
        </w:rPr>
        <w:t>structure.</w:t>
      </w:r>
    </w:p>
    <w:p w:rsidR="00665075" w:rsidRPr="00967592" w:rsidRDefault="00665075" w:rsidP="00E2473C">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t>Task differences</w:t>
      </w:r>
    </w:p>
    <w:p w:rsidR="00665075" w:rsidRPr="00967592" w:rsidRDefault="00E2473C" w:rsidP="00665075">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In each of the lessons above, interpretations of the task have been made by individual teachers, after team planning. In these lessons we do not see any reduction of challenge as is reported about adoption of published tasks.  The teachers have discussed common approaches, which loci should be used, and how lesson should be resourced in terms of space and equipment. Overt activity is similar; a more casual observer might say they were the same lesson.</w:t>
      </w:r>
      <w:r w:rsidR="008E171F" w:rsidRPr="00967592">
        <w:rPr>
          <w:rFonts w:ascii="Times New Roman" w:hAnsi="Times New Roman" w:cs="Times New Roman"/>
          <w:sz w:val="24"/>
          <w:szCs w:val="24"/>
          <w:lang w:val="en-GB"/>
        </w:rPr>
        <w:t xml:space="preserve"> T</w:t>
      </w:r>
      <w:r w:rsidR="00017599">
        <w:rPr>
          <w:rFonts w:ascii="Times New Roman" w:hAnsi="Times New Roman" w:cs="Times New Roman"/>
          <w:sz w:val="24"/>
          <w:szCs w:val="24"/>
          <w:lang w:val="en-GB"/>
        </w:rPr>
        <w:t>he effects of tool use were</w:t>
      </w:r>
      <w:r w:rsidR="008E171F" w:rsidRPr="00967592">
        <w:rPr>
          <w:rFonts w:ascii="Times New Roman" w:hAnsi="Times New Roman" w:cs="Times New Roman"/>
          <w:sz w:val="24"/>
          <w:szCs w:val="24"/>
          <w:lang w:val="en-GB"/>
        </w:rPr>
        <w:t xml:space="preserve"> the same, </w:t>
      </w:r>
      <w:r w:rsidR="00017599">
        <w:rPr>
          <w:rFonts w:ascii="Times New Roman" w:hAnsi="Times New Roman" w:cs="Times New Roman"/>
          <w:sz w:val="24"/>
          <w:szCs w:val="24"/>
          <w:lang w:val="en-GB"/>
        </w:rPr>
        <w:t xml:space="preserve">although the sense of appropriation might be different, </w:t>
      </w:r>
      <w:r w:rsidR="008E171F" w:rsidRPr="00967592">
        <w:rPr>
          <w:rFonts w:ascii="Times New Roman" w:hAnsi="Times New Roman" w:cs="Times New Roman"/>
          <w:sz w:val="24"/>
          <w:szCs w:val="24"/>
          <w:lang w:val="en-GB"/>
        </w:rPr>
        <w:t>and the mathematical content was equivalent.</w:t>
      </w:r>
    </w:p>
    <w:p w:rsidR="008E171F" w:rsidRPr="00967592" w:rsidRDefault="008E171F" w:rsidP="00665075">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lastRenderedPageBreak/>
        <w:t xml:space="preserve">What differed was what was emphasised by the teacher, but I am not saying that this was merely talk. </w:t>
      </w:r>
      <w:r w:rsidR="00967592" w:rsidRPr="00967592">
        <w:rPr>
          <w:rFonts w:ascii="Times New Roman" w:hAnsi="Times New Roman" w:cs="Times New Roman"/>
          <w:sz w:val="24"/>
          <w:szCs w:val="24"/>
          <w:lang w:val="en-GB"/>
        </w:rPr>
        <w:t>Rather,</w:t>
      </w:r>
      <w:r w:rsidRPr="00967592">
        <w:rPr>
          <w:rFonts w:ascii="Times New Roman" w:hAnsi="Times New Roman" w:cs="Times New Roman"/>
          <w:sz w:val="24"/>
          <w:szCs w:val="24"/>
          <w:lang w:val="en-GB"/>
        </w:rPr>
        <w:t xml:space="preserve"> the difference was</w:t>
      </w:r>
      <w:r w:rsidR="00967592" w:rsidRPr="00967592">
        <w:rPr>
          <w:rFonts w:ascii="Times New Roman" w:hAnsi="Times New Roman" w:cs="Times New Roman"/>
          <w:sz w:val="24"/>
          <w:szCs w:val="24"/>
          <w:lang w:val="en-GB"/>
        </w:rPr>
        <w:t>, I claim, due to</w:t>
      </w:r>
      <w:r w:rsidRPr="00967592">
        <w:rPr>
          <w:rFonts w:ascii="Times New Roman" w:hAnsi="Times New Roman" w:cs="Times New Roman"/>
          <w:sz w:val="24"/>
          <w:szCs w:val="24"/>
          <w:lang w:val="en-GB"/>
        </w:rPr>
        <w:t xml:space="preserve"> the underlying general relationships within which the teacher saw the task as being embedded. Because teachers see these differently they therefore use different language, different sequencing and different emphases so that different comparisons and connections can be made – yet all of these are equally mathematical.</w:t>
      </w:r>
    </w:p>
    <w:p w:rsidR="008E171F" w:rsidRPr="00967592" w:rsidRDefault="00967592" w:rsidP="00665075">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In each lesson such</w:t>
      </w:r>
      <w:r w:rsidR="008E171F" w:rsidRPr="00967592">
        <w:rPr>
          <w:rFonts w:ascii="Times New Roman" w:hAnsi="Times New Roman" w:cs="Times New Roman"/>
          <w:sz w:val="24"/>
          <w:szCs w:val="24"/>
          <w:lang w:val="en-GB"/>
        </w:rPr>
        <w:t xml:space="preserve"> differences were continuous.  Each lesson was coherent t</w:t>
      </w:r>
      <w:r w:rsidRPr="00967592">
        <w:rPr>
          <w:rFonts w:ascii="Times New Roman" w:hAnsi="Times New Roman" w:cs="Times New Roman"/>
          <w:sz w:val="24"/>
          <w:szCs w:val="24"/>
          <w:lang w:val="en-GB"/>
        </w:rPr>
        <w:t>hroughout in the relationships among its tasks, language, emphases,</w:t>
      </w:r>
      <w:r w:rsidR="008E171F" w:rsidRPr="00967592">
        <w:rPr>
          <w:rFonts w:ascii="Times New Roman" w:hAnsi="Times New Roman" w:cs="Times New Roman"/>
          <w:sz w:val="24"/>
          <w:szCs w:val="24"/>
          <w:lang w:val="en-GB"/>
        </w:rPr>
        <w:t xml:space="preserve"> prompts</w:t>
      </w:r>
      <w:r w:rsidRPr="00967592">
        <w:rPr>
          <w:rFonts w:ascii="Times New Roman" w:hAnsi="Times New Roman" w:cs="Times New Roman"/>
          <w:sz w:val="24"/>
          <w:szCs w:val="24"/>
          <w:lang w:val="en-GB"/>
        </w:rPr>
        <w:t xml:space="preserve"> and other components. E</w:t>
      </w:r>
      <w:r w:rsidR="008E171F" w:rsidRPr="00967592">
        <w:rPr>
          <w:rFonts w:ascii="Times New Roman" w:hAnsi="Times New Roman" w:cs="Times New Roman"/>
          <w:sz w:val="24"/>
          <w:szCs w:val="24"/>
          <w:lang w:val="en-GB"/>
        </w:rPr>
        <w:t>ach lesson was an expression of how the teacher</w:t>
      </w:r>
      <w:r w:rsidRPr="00967592">
        <w:rPr>
          <w:rFonts w:ascii="Times New Roman" w:hAnsi="Times New Roman" w:cs="Times New Roman"/>
          <w:sz w:val="24"/>
          <w:szCs w:val="24"/>
          <w:lang w:val="en-GB"/>
        </w:rPr>
        <w:t>s</w:t>
      </w:r>
      <w:r w:rsidR="008E171F" w:rsidRPr="00967592">
        <w:rPr>
          <w:rFonts w:ascii="Times New Roman" w:hAnsi="Times New Roman" w:cs="Times New Roman"/>
          <w:sz w:val="24"/>
          <w:szCs w:val="24"/>
          <w:lang w:val="en-GB"/>
        </w:rPr>
        <w:t xml:space="preserve"> saw the links betwee</w:t>
      </w:r>
      <w:r w:rsidRPr="00967592">
        <w:rPr>
          <w:rFonts w:ascii="Times New Roman" w:hAnsi="Times New Roman" w:cs="Times New Roman"/>
          <w:sz w:val="24"/>
          <w:szCs w:val="24"/>
          <w:lang w:val="en-GB"/>
        </w:rPr>
        <w:t>n the tasks, tools and learners within their understanding of what loci generally entailed.</w:t>
      </w:r>
    </w:p>
    <w:p w:rsidR="008E171F" w:rsidRDefault="00967592" w:rsidP="00665075">
      <w:pPr>
        <w:spacing w:before="120" w:line="360" w:lineRule="auto"/>
        <w:rPr>
          <w:rFonts w:ascii="Times New Roman" w:hAnsi="Times New Roman" w:cs="Times New Roman"/>
          <w:sz w:val="24"/>
          <w:szCs w:val="24"/>
          <w:lang w:val="en-GB"/>
        </w:rPr>
      </w:pPr>
      <w:r w:rsidRPr="00967592">
        <w:rPr>
          <w:rFonts w:ascii="Times New Roman" w:hAnsi="Times New Roman" w:cs="Times New Roman"/>
          <w:sz w:val="24"/>
          <w:szCs w:val="24"/>
          <w:lang w:val="en-GB"/>
        </w:rPr>
        <w:t>This realisation releases me</w:t>
      </w:r>
      <w:r w:rsidR="008E171F" w:rsidRPr="00967592">
        <w:rPr>
          <w:rFonts w:ascii="Times New Roman" w:hAnsi="Times New Roman" w:cs="Times New Roman"/>
          <w:sz w:val="24"/>
          <w:szCs w:val="24"/>
          <w:lang w:val="en-GB"/>
        </w:rPr>
        <w:t xml:space="preserve"> from attempts to describe good mathematics teaching as a collection of actions, utterances, tasks, and examples, and instead</w:t>
      </w:r>
      <w:r w:rsidRPr="00967592">
        <w:rPr>
          <w:rFonts w:ascii="Times New Roman" w:hAnsi="Times New Roman" w:cs="Times New Roman"/>
          <w:sz w:val="24"/>
          <w:szCs w:val="24"/>
          <w:lang w:val="en-GB"/>
        </w:rPr>
        <w:t xml:space="preserve"> leads me to look for the continuous threads of mathematical awareness the teacher is revealing by her/his actions and decisions. We can then see teaching mathematics as the more-or-less fluent expression of an understanding of a mathematical context for the current work. </w:t>
      </w:r>
    </w:p>
    <w:p w:rsidR="00017599" w:rsidRDefault="00017599" w:rsidP="00665075">
      <w:pPr>
        <w:spacing w:before="120" w:line="360" w:lineRule="auto"/>
        <w:rPr>
          <w:rFonts w:ascii="Times New Roman" w:hAnsi="Times New Roman" w:cs="Times New Roman"/>
          <w:sz w:val="24"/>
          <w:szCs w:val="24"/>
          <w:lang w:val="en-GB"/>
        </w:rPr>
      </w:pPr>
      <w:r>
        <w:rPr>
          <w:rFonts w:ascii="Times New Roman" w:hAnsi="Times New Roman" w:cs="Times New Roman"/>
          <w:sz w:val="24"/>
          <w:szCs w:val="24"/>
          <w:lang w:val="en-GB"/>
        </w:rPr>
        <w:t>The implications of this insight are that we can see mathematics teaching as a way of being mathematical, and the education of mathematics teachers as a mathematical experience.</w:t>
      </w:r>
    </w:p>
    <w:p w:rsidR="00630323" w:rsidRDefault="00630323" w:rsidP="00630323">
      <w:pPr>
        <w:pStyle w:val="Heading1"/>
        <w:rPr>
          <w:rFonts w:ascii="Times New Roman" w:hAnsi="Times New Roman"/>
          <w:sz w:val="24"/>
          <w:lang w:val="en-GB"/>
        </w:rPr>
      </w:pPr>
      <w:r w:rsidRPr="00630323">
        <w:rPr>
          <w:rFonts w:ascii="Times New Roman" w:hAnsi="Times New Roman"/>
          <w:sz w:val="24"/>
          <w:lang w:val="en-GB"/>
        </w:rPr>
        <w:t>Acknowledgements</w:t>
      </w:r>
    </w:p>
    <w:p w:rsidR="00630323" w:rsidRDefault="00630323" w:rsidP="00630323">
      <w:pPr>
        <w:rPr>
          <w:lang w:val="en-GB"/>
        </w:rPr>
      </w:pPr>
    </w:p>
    <w:p w:rsidR="000A0D19" w:rsidRPr="00967592" w:rsidRDefault="00630323" w:rsidP="00630323">
      <w:pPr>
        <w:rPr>
          <w:rFonts w:ascii="Times New Roman" w:hAnsi="Times New Roman" w:cs="Times New Roman"/>
          <w:sz w:val="24"/>
          <w:szCs w:val="24"/>
          <w:lang w:val="en-GB"/>
        </w:rPr>
      </w:pPr>
      <w:r>
        <w:rPr>
          <w:rFonts w:ascii="Times New Roman" w:hAnsi="Times New Roman" w:cs="Times New Roman"/>
          <w:lang w:val="en-GB"/>
        </w:rPr>
        <w:t xml:space="preserve">I am grateful to Helen Doerr for the conversations that led to this paper, and to the reviewer </w:t>
      </w:r>
      <w:r w:rsidR="00B43425">
        <w:rPr>
          <w:rFonts w:ascii="Times New Roman" w:hAnsi="Times New Roman" w:cs="Times New Roman"/>
          <w:lang w:val="en-GB"/>
        </w:rPr>
        <w:t>who</w:t>
      </w:r>
      <w:r>
        <w:rPr>
          <w:rFonts w:ascii="Times New Roman" w:hAnsi="Times New Roman" w:cs="Times New Roman"/>
          <w:lang w:val="en-GB"/>
        </w:rPr>
        <w:t xml:space="preserve"> show</w:t>
      </w:r>
      <w:r w:rsidR="00B43425">
        <w:rPr>
          <w:rFonts w:ascii="Times New Roman" w:hAnsi="Times New Roman" w:cs="Times New Roman"/>
          <w:lang w:val="en-GB"/>
        </w:rPr>
        <w:t>ed</w:t>
      </w:r>
      <w:r>
        <w:rPr>
          <w:rFonts w:ascii="Times New Roman" w:hAnsi="Times New Roman" w:cs="Times New Roman"/>
          <w:lang w:val="en-GB"/>
        </w:rPr>
        <w:t xml:space="preserve"> ways in which the argument could be made with more clarity.</w:t>
      </w:r>
    </w:p>
    <w:p w:rsidR="00C92D47" w:rsidRPr="00967592" w:rsidRDefault="00C92D47" w:rsidP="00E2473C">
      <w:pPr>
        <w:pStyle w:val="Heading1"/>
        <w:rPr>
          <w:rFonts w:ascii="Times New Roman" w:hAnsi="Times New Roman" w:cs="Times New Roman"/>
          <w:sz w:val="24"/>
          <w:szCs w:val="24"/>
          <w:lang w:val="en-GB"/>
        </w:rPr>
      </w:pPr>
      <w:r w:rsidRPr="00967592">
        <w:rPr>
          <w:rFonts w:ascii="Times New Roman" w:hAnsi="Times New Roman" w:cs="Times New Roman"/>
          <w:sz w:val="24"/>
          <w:szCs w:val="24"/>
          <w:lang w:val="en-GB"/>
        </w:rPr>
        <w:lastRenderedPageBreak/>
        <w:t>References</w:t>
      </w:r>
    </w:p>
    <w:p w:rsidR="00251E95" w:rsidRPr="00DA49FB" w:rsidRDefault="00251E95" w:rsidP="00DA49FB">
      <w:pPr>
        <w:pStyle w:val="Heading4"/>
        <w:spacing w:before="80" w:after="0" w:line="360" w:lineRule="auto"/>
        <w:ind w:left="720" w:hanging="720"/>
        <w:rPr>
          <w:b w:val="0"/>
          <w:bCs w:val="0"/>
          <w:i/>
          <w:sz w:val="24"/>
          <w:szCs w:val="24"/>
        </w:rPr>
      </w:pPr>
      <w:r w:rsidRPr="00DA49FB">
        <w:rPr>
          <w:b w:val="0"/>
          <w:bCs w:val="0"/>
          <w:sz w:val="24"/>
          <w:szCs w:val="24"/>
        </w:rPr>
        <w:t xml:space="preserve">Andrews, P. &amp; Sayers, J. (2005) How do teachers of mathematics teach? A four-way international comparison, in R. </w:t>
      </w:r>
      <w:proofErr w:type="spellStart"/>
      <w:r w:rsidRPr="00DA49FB">
        <w:rPr>
          <w:b w:val="0"/>
          <w:bCs w:val="0"/>
          <w:sz w:val="24"/>
          <w:szCs w:val="24"/>
        </w:rPr>
        <w:t>Barwell</w:t>
      </w:r>
      <w:proofErr w:type="spellEnd"/>
      <w:r w:rsidRPr="00DA49FB">
        <w:rPr>
          <w:b w:val="0"/>
          <w:bCs w:val="0"/>
          <w:sz w:val="24"/>
          <w:szCs w:val="24"/>
        </w:rPr>
        <w:t xml:space="preserve"> &amp; A. Noyes (Eds.) </w:t>
      </w:r>
      <w:r w:rsidRPr="00DA49FB">
        <w:rPr>
          <w:b w:val="0"/>
          <w:bCs w:val="0"/>
          <w:i/>
          <w:sz w:val="24"/>
          <w:szCs w:val="24"/>
        </w:rPr>
        <w:t>Research</w:t>
      </w:r>
      <w:r w:rsidR="00DA49FB" w:rsidRPr="00DA49FB">
        <w:rPr>
          <w:b w:val="0"/>
          <w:bCs w:val="0"/>
          <w:i/>
          <w:sz w:val="24"/>
          <w:szCs w:val="24"/>
        </w:rPr>
        <w:t xml:space="preserve"> in Mathematics Education, vol. 7: Papers of the British Society for Research into Learning Mathematics. </w:t>
      </w:r>
      <w:r w:rsidR="00DA49FB" w:rsidRPr="00DA49FB">
        <w:rPr>
          <w:b w:val="0"/>
          <w:bCs w:val="0"/>
          <w:sz w:val="24"/>
          <w:szCs w:val="24"/>
        </w:rPr>
        <w:t xml:space="preserve">pp. 139-158, </w:t>
      </w:r>
      <w:smartTag w:uri="urn:schemas-microsoft-com:office:smarttags" w:element="City">
        <w:smartTag w:uri="urn:schemas-microsoft-com:office:smarttags" w:element="place">
          <w:r w:rsidR="00DA49FB" w:rsidRPr="00DA49FB">
            <w:rPr>
              <w:b w:val="0"/>
              <w:bCs w:val="0"/>
              <w:sz w:val="24"/>
              <w:szCs w:val="24"/>
            </w:rPr>
            <w:t>London</w:t>
          </w:r>
        </w:smartTag>
      </w:smartTag>
      <w:r w:rsidR="00DA49FB" w:rsidRPr="00DA49FB">
        <w:rPr>
          <w:b w:val="0"/>
          <w:bCs w:val="0"/>
          <w:sz w:val="24"/>
          <w:szCs w:val="24"/>
        </w:rPr>
        <w:t>: BSRLM</w:t>
      </w:r>
    </w:p>
    <w:p w:rsidR="00C92D47" w:rsidRPr="00E74CF0" w:rsidRDefault="00C92D47" w:rsidP="00FB6320">
      <w:pPr>
        <w:pStyle w:val="Heading3"/>
        <w:spacing w:before="80" w:after="0" w:line="360" w:lineRule="auto"/>
        <w:ind w:left="720" w:right="-540" w:hanging="720"/>
        <w:rPr>
          <w:rFonts w:ascii="Times New Roman" w:hAnsi="Times New Roman" w:cs="Times New Roman"/>
          <w:b w:val="0"/>
          <w:color w:val="000000"/>
          <w:sz w:val="24"/>
          <w:szCs w:val="24"/>
        </w:rPr>
      </w:pPr>
      <w:r w:rsidRPr="00E74CF0">
        <w:rPr>
          <w:rFonts w:ascii="Times New Roman" w:hAnsi="Times New Roman" w:cs="Times New Roman"/>
          <w:b w:val="0"/>
          <w:color w:val="000000"/>
          <w:sz w:val="24"/>
          <w:szCs w:val="24"/>
        </w:rPr>
        <w:t xml:space="preserve">Burkhardt, H., &amp; </w:t>
      </w:r>
      <w:proofErr w:type="spellStart"/>
      <w:r w:rsidRPr="00E74CF0">
        <w:rPr>
          <w:rFonts w:ascii="Times New Roman" w:hAnsi="Times New Roman" w:cs="Times New Roman"/>
          <w:b w:val="0"/>
          <w:color w:val="000000"/>
          <w:sz w:val="24"/>
          <w:szCs w:val="24"/>
        </w:rPr>
        <w:t>Schoenfeld</w:t>
      </w:r>
      <w:proofErr w:type="spellEnd"/>
      <w:r w:rsidRPr="00E74CF0">
        <w:rPr>
          <w:rFonts w:ascii="Times New Roman" w:hAnsi="Times New Roman" w:cs="Times New Roman"/>
          <w:b w:val="0"/>
          <w:color w:val="000000"/>
          <w:sz w:val="24"/>
          <w:szCs w:val="24"/>
        </w:rPr>
        <w:t xml:space="preserve">, A. (2003). Improving education research: Towards a more useful, more influential and better-funded enterprise. </w:t>
      </w:r>
      <w:r w:rsidRPr="00E74CF0">
        <w:rPr>
          <w:rStyle w:val="Emphasis"/>
          <w:rFonts w:ascii="Times New Roman" w:hAnsi="Times New Roman" w:cs="Times New Roman"/>
          <w:b w:val="0"/>
          <w:color w:val="000000"/>
          <w:sz w:val="24"/>
          <w:szCs w:val="24"/>
        </w:rPr>
        <w:t>Educational Researcher, 32</w:t>
      </w:r>
      <w:r w:rsidRPr="00E74CF0">
        <w:rPr>
          <w:rFonts w:ascii="Times New Roman" w:hAnsi="Times New Roman" w:cs="Times New Roman"/>
          <w:b w:val="0"/>
          <w:color w:val="000000"/>
          <w:sz w:val="24"/>
          <w:szCs w:val="24"/>
        </w:rPr>
        <w:t>(9), 3-14.</w:t>
      </w:r>
    </w:p>
    <w:p w:rsidR="00C92D47" w:rsidRPr="00E74CF0" w:rsidRDefault="00C92D47" w:rsidP="00C92D47">
      <w:pPr>
        <w:autoSpaceDE w:val="0"/>
        <w:autoSpaceDN w:val="0"/>
        <w:adjustRightInd w:val="0"/>
        <w:spacing w:before="80" w:line="360" w:lineRule="auto"/>
        <w:ind w:left="720" w:hanging="720"/>
        <w:rPr>
          <w:rFonts w:ascii="Times New Roman" w:hAnsi="Times New Roman" w:cs="Times New Roman"/>
          <w:sz w:val="24"/>
          <w:szCs w:val="24"/>
        </w:rPr>
      </w:pPr>
      <w:r w:rsidRPr="00E74CF0">
        <w:rPr>
          <w:rFonts w:ascii="Times New Roman" w:hAnsi="Times New Roman" w:cs="Times New Roman"/>
          <w:sz w:val="24"/>
          <w:szCs w:val="24"/>
        </w:rPr>
        <w:t xml:space="preserve">Christiansen, B. and Walter: 1986, Task and activity, in B. Christiansen, A. </w:t>
      </w:r>
      <w:proofErr w:type="spellStart"/>
      <w:r w:rsidRPr="00E74CF0">
        <w:rPr>
          <w:rFonts w:ascii="Times New Roman" w:hAnsi="Times New Roman" w:cs="Times New Roman"/>
          <w:sz w:val="24"/>
          <w:szCs w:val="24"/>
        </w:rPr>
        <w:t>Howson</w:t>
      </w:r>
      <w:proofErr w:type="spellEnd"/>
      <w:r w:rsidRPr="00E74CF0">
        <w:rPr>
          <w:rFonts w:ascii="Times New Roman" w:hAnsi="Times New Roman" w:cs="Times New Roman"/>
          <w:sz w:val="24"/>
          <w:szCs w:val="24"/>
        </w:rPr>
        <w:t xml:space="preserve"> and M. </w:t>
      </w:r>
      <w:proofErr w:type="spellStart"/>
      <w:r w:rsidRPr="00E74CF0">
        <w:rPr>
          <w:rFonts w:ascii="Times New Roman" w:hAnsi="Times New Roman" w:cs="Times New Roman"/>
          <w:sz w:val="24"/>
          <w:szCs w:val="24"/>
        </w:rPr>
        <w:t>Otte</w:t>
      </w:r>
      <w:proofErr w:type="spellEnd"/>
      <w:r w:rsidRPr="00E74CF0">
        <w:rPr>
          <w:rFonts w:ascii="Times New Roman" w:hAnsi="Times New Roman" w:cs="Times New Roman"/>
          <w:sz w:val="24"/>
          <w:szCs w:val="24"/>
        </w:rPr>
        <w:t xml:space="preserve"> (Eds.), </w:t>
      </w:r>
      <w:r w:rsidRPr="00E74CF0">
        <w:rPr>
          <w:rFonts w:ascii="Times New Roman" w:hAnsi="Times New Roman" w:cs="Times New Roman"/>
          <w:i/>
          <w:iCs/>
          <w:sz w:val="24"/>
          <w:szCs w:val="24"/>
        </w:rPr>
        <w:t>Perspectives on mathematics education</w:t>
      </w:r>
      <w:r w:rsidRPr="00E74CF0">
        <w:rPr>
          <w:rFonts w:ascii="Times New Roman" w:hAnsi="Times New Roman" w:cs="Times New Roman"/>
          <w:sz w:val="24"/>
          <w:szCs w:val="24"/>
        </w:rPr>
        <w:t xml:space="preserve">, </w:t>
      </w:r>
      <w:r w:rsidR="00251E95" w:rsidRPr="00E74CF0">
        <w:rPr>
          <w:rFonts w:ascii="Times New Roman" w:hAnsi="Times New Roman" w:cs="Times New Roman"/>
          <w:sz w:val="24"/>
          <w:szCs w:val="24"/>
        </w:rPr>
        <w:t>pp. 243-307.</w:t>
      </w:r>
      <w:r w:rsidR="00DA49FB" w:rsidRPr="00E74CF0">
        <w:rPr>
          <w:rFonts w:ascii="Times New Roman" w:hAnsi="Times New Roman" w:cs="Times New Roman"/>
          <w:sz w:val="24"/>
          <w:szCs w:val="24"/>
        </w:rPr>
        <w:t>Dordrecht</w:t>
      </w:r>
      <w:r w:rsidR="00DA49FB">
        <w:rPr>
          <w:rFonts w:ascii="Times New Roman" w:hAnsi="Times New Roman" w:cs="Times New Roman"/>
          <w:sz w:val="24"/>
          <w:szCs w:val="24"/>
        </w:rPr>
        <w:t xml:space="preserve">: </w:t>
      </w:r>
      <w:proofErr w:type="spellStart"/>
      <w:r w:rsidR="00DA49FB">
        <w:rPr>
          <w:rFonts w:ascii="Times New Roman" w:hAnsi="Times New Roman" w:cs="Times New Roman"/>
          <w:sz w:val="24"/>
          <w:szCs w:val="24"/>
        </w:rPr>
        <w:t>Reidel</w:t>
      </w:r>
      <w:proofErr w:type="spellEnd"/>
      <w:r w:rsidR="00DA49FB">
        <w:rPr>
          <w:rFonts w:ascii="Times New Roman" w:hAnsi="Times New Roman" w:cs="Times New Roman"/>
          <w:sz w:val="24"/>
          <w:szCs w:val="24"/>
        </w:rPr>
        <w:t>.</w:t>
      </w:r>
    </w:p>
    <w:p w:rsidR="00C92D47" w:rsidRPr="00967592" w:rsidRDefault="00251E95" w:rsidP="00C92D47">
      <w:pPr>
        <w:spacing w:before="80" w:line="360" w:lineRule="auto"/>
        <w:ind w:left="720" w:hanging="720"/>
        <w:rPr>
          <w:rFonts w:ascii="Times New Roman" w:hAnsi="Times New Roman" w:cs="Times New Roman"/>
          <w:color w:val="000025"/>
          <w:sz w:val="24"/>
          <w:szCs w:val="24"/>
        </w:rPr>
      </w:pPr>
      <w:r>
        <w:rPr>
          <w:rFonts w:ascii="Times New Roman" w:hAnsi="Times New Roman" w:cs="Times New Roman"/>
          <w:sz w:val="24"/>
          <w:szCs w:val="24"/>
          <w:lang w:val="en-GB"/>
        </w:rPr>
        <w:t>David, M. &amp;</w:t>
      </w:r>
      <w:r w:rsidR="00C92D47" w:rsidRPr="00E74CF0">
        <w:rPr>
          <w:rFonts w:ascii="Times New Roman" w:hAnsi="Times New Roman" w:cs="Times New Roman"/>
          <w:sz w:val="24"/>
          <w:szCs w:val="24"/>
          <w:lang w:val="en-GB"/>
        </w:rPr>
        <w:t xml:space="preserve"> Watson, A. (2007) </w:t>
      </w:r>
      <w:r w:rsidR="00C92D47" w:rsidRPr="00E74CF0">
        <w:rPr>
          <w:rFonts w:ascii="Times New Roman" w:hAnsi="Times New Roman" w:cs="Times New Roman"/>
          <w:color w:val="000025"/>
          <w:sz w:val="24"/>
          <w:szCs w:val="24"/>
        </w:rPr>
        <w:t xml:space="preserve">Participating In What? Using Situated Cognition Theory To Illuminate Differences In Classroom Practices. In A. Watson &amp; </w:t>
      </w:r>
      <w:proofErr w:type="spellStart"/>
      <w:r w:rsidR="00C92D47" w:rsidRPr="00E74CF0">
        <w:rPr>
          <w:rFonts w:ascii="Times New Roman" w:hAnsi="Times New Roman" w:cs="Times New Roman"/>
          <w:color w:val="000025"/>
          <w:sz w:val="24"/>
          <w:szCs w:val="24"/>
        </w:rPr>
        <w:t>P.Winbour</w:t>
      </w:r>
      <w:r w:rsidR="00C92D47" w:rsidRPr="00E74CF0">
        <w:rPr>
          <w:rFonts w:ascii="Times New Roman" w:hAnsi="Times New Roman" w:cs="Times New Roman"/>
          <w:sz w:val="24"/>
          <w:szCs w:val="24"/>
        </w:rPr>
        <w:t>ne</w:t>
      </w:r>
      <w:proofErr w:type="spellEnd"/>
      <w:r w:rsidR="00C92D47" w:rsidRPr="00E74CF0">
        <w:rPr>
          <w:rFonts w:ascii="Times New Roman" w:hAnsi="Times New Roman" w:cs="Times New Roman"/>
          <w:sz w:val="24"/>
          <w:szCs w:val="24"/>
        </w:rPr>
        <w:t xml:space="preserve"> (eds.) </w:t>
      </w:r>
      <w:hyperlink r:id="rId7" w:history="1">
        <w:r w:rsidR="00C92D47" w:rsidRPr="00E74CF0">
          <w:rPr>
            <w:rFonts w:ascii="Times New Roman" w:hAnsi="Times New Roman" w:cs="Times New Roman"/>
            <w:i/>
            <w:sz w:val="24"/>
            <w:szCs w:val="24"/>
          </w:rPr>
          <w:t>New Directions for Situated Cognition in Mathematics Education</w:t>
        </w:r>
      </w:hyperlink>
      <w:r w:rsidR="00C92D47" w:rsidRPr="00E74CF0">
        <w:rPr>
          <w:rFonts w:ascii="Times New Roman" w:hAnsi="Times New Roman" w:cs="Times New Roman"/>
          <w:color w:val="000025"/>
          <w:sz w:val="24"/>
          <w:szCs w:val="24"/>
        </w:rPr>
        <w:t xml:space="preserve"> </w:t>
      </w:r>
      <w:r w:rsidRPr="00E74CF0">
        <w:rPr>
          <w:rFonts w:ascii="Times New Roman" w:hAnsi="Times New Roman" w:cs="Times New Roman"/>
          <w:color w:val="000025"/>
          <w:sz w:val="24"/>
          <w:szCs w:val="24"/>
        </w:rPr>
        <w:t>pp. 31-56</w:t>
      </w:r>
      <w:r>
        <w:rPr>
          <w:rFonts w:ascii="Times New Roman" w:hAnsi="Times New Roman" w:cs="Times New Roman"/>
          <w:color w:val="000025"/>
          <w:sz w:val="24"/>
          <w:szCs w:val="24"/>
        </w:rPr>
        <w:t>.</w:t>
      </w:r>
      <w:r w:rsidR="00DA49FB">
        <w:rPr>
          <w:rFonts w:ascii="Times New Roman" w:hAnsi="Times New Roman" w:cs="Times New Roman"/>
          <w:color w:val="000025"/>
          <w:sz w:val="24"/>
          <w:szCs w:val="24"/>
        </w:rPr>
        <w:t xml:space="preserve"> NY:</w:t>
      </w:r>
      <w:r>
        <w:rPr>
          <w:rFonts w:ascii="Times New Roman" w:hAnsi="Times New Roman" w:cs="Times New Roman"/>
          <w:color w:val="000025"/>
          <w:sz w:val="24"/>
          <w:szCs w:val="24"/>
        </w:rPr>
        <w:t xml:space="preserve"> </w:t>
      </w:r>
      <w:r w:rsidR="00DA49FB">
        <w:rPr>
          <w:rFonts w:ascii="Times New Roman" w:hAnsi="Times New Roman" w:cs="Times New Roman"/>
          <w:color w:val="000025"/>
          <w:sz w:val="24"/>
          <w:szCs w:val="24"/>
        </w:rPr>
        <w:t>Springer</w:t>
      </w:r>
    </w:p>
    <w:p w:rsidR="004448F6" w:rsidRPr="00017599" w:rsidRDefault="00251E95" w:rsidP="00C92D47">
      <w:pPr>
        <w:autoSpaceDE w:val="0"/>
        <w:autoSpaceDN w:val="0"/>
        <w:adjustRightInd w:val="0"/>
        <w:spacing w:before="8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Davis, B. &amp; </w:t>
      </w:r>
      <w:proofErr w:type="spellStart"/>
      <w:r>
        <w:rPr>
          <w:rFonts w:ascii="Times New Roman" w:hAnsi="Times New Roman" w:cs="Times New Roman"/>
          <w:sz w:val="24"/>
          <w:szCs w:val="24"/>
        </w:rPr>
        <w:t>Sumara</w:t>
      </w:r>
      <w:proofErr w:type="spellEnd"/>
      <w:r>
        <w:rPr>
          <w:rFonts w:ascii="Times New Roman" w:hAnsi="Times New Roman" w:cs="Times New Roman"/>
          <w:sz w:val="24"/>
          <w:szCs w:val="24"/>
        </w:rPr>
        <w:t>, D.</w:t>
      </w:r>
      <w:r w:rsidR="004448F6" w:rsidRPr="00017599">
        <w:rPr>
          <w:rFonts w:ascii="Times New Roman" w:hAnsi="Times New Roman" w:cs="Times New Roman"/>
          <w:sz w:val="24"/>
          <w:szCs w:val="24"/>
        </w:rPr>
        <w:t xml:space="preserve"> (2006). </w:t>
      </w:r>
      <w:r w:rsidR="004448F6" w:rsidRPr="00017599">
        <w:rPr>
          <w:rFonts w:ascii="Times New Roman" w:hAnsi="Times New Roman" w:cs="Times New Roman"/>
          <w:i/>
          <w:iCs/>
          <w:sz w:val="24"/>
          <w:szCs w:val="24"/>
        </w:rPr>
        <w:t>Complexity and education: Inquiries into learning, teaching, and research</w:t>
      </w:r>
      <w:r w:rsidR="004448F6" w:rsidRPr="00017599">
        <w:rPr>
          <w:rFonts w:ascii="Times New Roman" w:hAnsi="Times New Roman" w:cs="Times New Roman"/>
          <w:sz w:val="24"/>
          <w:szCs w:val="24"/>
        </w:rPr>
        <w:t xml:space="preserve">. </w:t>
      </w:r>
      <w:smartTag w:uri="urn:schemas-microsoft-com:office:smarttags" w:element="City">
        <w:r w:rsidR="004448F6" w:rsidRPr="00017599">
          <w:rPr>
            <w:rFonts w:ascii="Times New Roman" w:hAnsi="Times New Roman" w:cs="Times New Roman"/>
            <w:sz w:val="24"/>
            <w:szCs w:val="24"/>
          </w:rPr>
          <w:t>Mahwah</w:t>
        </w:r>
      </w:smartTag>
      <w:r w:rsidR="004448F6" w:rsidRPr="00017599">
        <w:rPr>
          <w:rFonts w:ascii="Times New Roman" w:hAnsi="Times New Roman" w:cs="Times New Roman"/>
          <w:sz w:val="24"/>
          <w:szCs w:val="24"/>
        </w:rPr>
        <w:t xml:space="preserve">, </w:t>
      </w:r>
      <w:smartTag w:uri="urn:schemas-microsoft-com:office:smarttags" w:element="State">
        <w:r w:rsidR="004448F6" w:rsidRPr="00017599">
          <w:rPr>
            <w:rFonts w:ascii="Times New Roman" w:hAnsi="Times New Roman" w:cs="Times New Roman"/>
            <w:sz w:val="24"/>
            <w:szCs w:val="24"/>
          </w:rPr>
          <w:t>NJ</w:t>
        </w:r>
      </w:smartTag>
      <w:r w:rsidR="004448F6" w:rsidRPr="00017599">
        <w:rPr>
          <w:rFonts w:ascii="Times New Roman" w:hAnsi="Times New Roman" w:cs="Times New Roman"/>
          <w:sz w:val="24"/>
          <w:szCs w:val="24"/>
        </w:rPr>
        <w:t xml:space="preserve">: </w:t>
      </w:r>
      <w:smartTag w:uri="urn:schemas-microsoft-com:office:smarttags" w:element="City">
        <w:smartTag w:uri="urn:schemas-microsoft-com:office:smarttags" w:element="place">
          <w:r w:rsidR="004448F6" w:rsidRPr="00017599">
            <w:rPr>
              <w:rFonts w:ascii="Times New Roman" w:hAnsi="Times New Roman" w:cs="Times New Roman"/>
              <w:sz w:val="24"/>
              <w:szCs w:val="24"/>
            </w:rPr>
            <w:t>Lawrence</w:t>
          </w:r>
        </w:smartTag>
      </w:smartTag>
      <w:r w:rsidR="004448F6" w:rsidRPr="00017599">
        <w:rPr>
          <w:rFonts w:ascii="Times New Roman" w:hAnsi="Times New Roman" w:cs="Times New Roman"/>
          <w:sz w:val="24"/>
          <w:szCs w:val="24"/>
        </w:rPr>
        <w:t xml:space="preserve"> Erlbaum </w:t>
      </w:r>
    </w:p>
    <w:p w:rsidR="00C92D47" w:rsidRPr="00967592" w:rsidRDefault="00C92D47" w:rsidP="00C92D47">
      <w:pPr>
        <w:autoSpaceDE w:val="0"/>
        <w:autoSpaceDN w:val="0"/>
        <w:adjustRightInd w:val="0"/>
        <w:spacing w:before="80" w:line="360" w:lineRule="auto"/>
        <w:ind w:left="720" w:hanging="720"/>
        <w:rPr>
          <w:rFonts w:ascii="Times New Roman" w:hAnsi="Times New Roman" w:cs="Times New Roman"/>
          <w:sz w:val="24"/>
          <w:szCs w:val="24"/>
        </w:rPr>
      </w:pPr>
      <w:proofErr w:type="spellStart"/>
      <w:r w:rsidRPr="00967592">
        <w:rPr>
          <w:rFonts w:ascii="Times New Roman" w:hAnsi="Times New Roman" w:cs="Times New Roman"/>
          <w:sz w:val="24"/>
          <w:szCs w:val="24"/>
        </w:rPr>
        <w:t>Emanuelsson</w:t>
      </w:r>
      <w:proofErr w:type="spellEnd"/>
      <w:r w:rsidRPr="00967592">
        <w:rPr>
          <w:rFonts w:ascii="Times New Roman" w:hAnsi="Times New Roman" w:cs="Times New Roman"/>
          <w:sz w:val="24"/>
          <w:szCs w:val="24"/>
        </w:rPr>
        <w:t>, J. (2001)</w:t>
      </w:r>
      <w:r w:rsidRPr="00E74CF0">
        <w:rPr>
          <w:rFonts w:ascii="Times New Roman" w:hAnsi="Times New Roman" w:cs="Times New Roman"/>
          <w:i/>
          <w:sz w:val="24"/>
          <w:szCs w:val="24"/>
        </w:rPr>
        <w:t xml:space="preserve"> En </w:t>
      </w:r>
      <w:proofErr w:type="spellStart"/>
      <w:r w:rsidRPr="00E74CF0">
        <w:rPr>
          <w:rFonts w:ascii="Times New Roman" w:hAnsi="Times New Roman" w:cs="Times New Roman"/>
          <w:i/>
          <w:sz w:val="24"/>
          <w:szCs w:val="24"/>
        </w:rPr>
        <w:t>fråga</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om</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frågor</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Hur</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lärares</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frågor</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gör</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det</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möjligt</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att</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få</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reda</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på</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elevernas</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sätt</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att</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förstå</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det</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som</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undervisningen</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behandlar</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i</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matematik</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och</w:t>
      </w:r>
      <w:proofErr w:type="spellEnd"/>
      <w:r w:rsidRPr="00E74CF0">
        <w:rPr>
          <w:rFonts w:ascii="Times New Roman" w:hAnsi="Times New Roman" w:cs="Times New Roman"/>
          <w:i/>
          <w:sz w:val="24"/>
          <w:szCs w:val="24"/>
        </w:rPr>
        <w:t xml:space="preserve"> </w:t>
      </w:r>
      <w:proofErr w:type="spellStart"/>
      <w:r w:rsidRPr="00E74CF0">
        <w:rPr>
          <w:rFonts w:ascii="Times New Roman" w:hAnsi="Times New Roman" w:cs="Times New Roman"/>
          <w:i/>
          <w:sz w:val="24"/>
          <w:szCs w:val="24"/>
        </w:rPr>
        <w:t>naturvetenskap</w:t>
      </w:r>
      <w:proofErr w:type="spellEnd"/>
      <w:r w:rsidRPr="00967592">
        <w:rPr>
          <w:rFonts w:ascii="Times New Roman" w:hAnsi="Times New Roman" w:cs="Times New Roman"/>
          <w:sz w:val="24"/>
          <w:szCs w:val="24"/>
        </w:rPr>
        <w:t xml:space="preserve">. </w:t>
      </w:r>
      <w:proofErr w:type="spellStart"/>
      <w:r w:rsidRPr="00967592">
        <w:rPr>
          <w:rFonts w:ascii="Times New Roman" w:hAnsi="Times New Roman" w:cs="Times New Roman"/>
          <w:sz w:val="24"/>
          <w:szCs w:val="24"/>
        </w:rPr>
        <w:t>Göteborg</w:t>
      </w:r>
      <w:proofErr w:type="spellEnd"/>
      <w:r w:rsidRPr="00967592">
        <w:rPr>
          <w:rFonts w:ascii="Times New Roman" w:hAnsi="Times New Roman" w:cs="Times New Roman"/>
          <w:sz w:val="24"/>
          <w:szCs w:val="24"/>
        </w:rPr>
        <w:t xml:space="preserve">: </w:t>
      </w:r>
      <w:proofErr w:type="spellStart"/>
      <w:r w:rsidRPr="00967592">
        <w:rPr>
          <w:rFonts w:ascii="Times New Roman" w:hAnsi="Times New Roman" w:cs="Times New Roman"/>
          <w:sz w:val="24"/>
          <w:szCs w:val="24"/>
        </w:rPr>
        <w:t>Acta</w:t>
      </w:r>
      <w:proofErr w:type="spellEnd"/>
      <w:r w:rsidRPr="00967592">
        <w:rPr>
          <w:rFonts w:ascii="Times New Roman" w:hAnsi="Times New Roman" w:cs="Times New Roman"/>
          <w:sz w:val="24"/>
          <w:szCs w:val="24"/>
        </w:rPr>
        <w:t xml:space="preserve"> </w:t>
      </w:r>
      <w:proofErr w:type="spellStart"/>
      <w:r w:rsidRPr="00967592">
        <w:rPr>
          <w:rFonts w:ascii="Times New Roman" w:hAnsi="Times New Roman" w:cs="Times New Roman"/>
          <w:sz w:val="24"/>
          <w:szCs w:val="24"/>
        </w:rPr>
        <w:t>Universitatis</w:t>
      </w:r>
      <w:proofErr w:type="spellEnd"/>
      <w:r w:rsidRPr="00967592">
        <w:rPr>
          <w:rFonts w:ascii="Times New Roman" w:hAnsi="Times New Roman" w:cs="Times New Roman"/>
          <w:sz w:val="24"/>
          <w:szCs w:val="24"/>
        </w:rPr>
        <w:t xml:space="preserve"> </w:t>
      </w:r>
      <w:proofErr w:type="spellStart"/>
      <w:r w:rsidRPr="00967592">
        <w:rPr>
          <w:rFonts w:ascii="Times New Roman" w:hAnsi="Times New Roman" w:cs="Times New Roman"/>
          <w:sz w:val="24"/>
          <w:szCs w:val="24"/>
        </w:rPr>
        <w:t>Gothoburgensis</w:t>
      </w:r>
      <w:proofErr w:type="spellEnd"/>
      <w:r w:rsidRPr="00967592">
        <w:rPr>
          <w:rFonts w:ascii="Times New Roman" w:hAnsi="Times New Roman" w:cs="Times New Roman"/>
          <w:sz w:val="24"/>
          <w:szCs w:val="24"/>
        </w:rPr>
        <w:t>.</w:t>
      </w:r>
    </w:p>
    <w:p w:rsidR="00C92D47" w:rsidRPr="00967592" w:rsidRDefault="00C92D47" w:rsidP="00C92D47">
      <w:pPr>
        <w:spacing w:before="80" w:line="360" w:lineRule="auto"/>
        <w:ind w:left="720" w:hanging="720"/>
        <w:rPr>
          <w:rStyle w:val="Emphasis"/>
          <w:rFonts w:ascii="Times New Roman" w:hAnsi="Times New Roman" w:cs="Times New Roman"/>
          <w:i w:val="0"/>
          <w:sz w:val="24"/>
          <w:szCs w:val="24"/>
        </w:rPr>
      </w:pPr>
      <w:proofErr w:type="spellStart"/>
      <w:r w:rsidRPr="00967592">
        <w:rPr>
          <w:rFonts w:ascii="Times New Roman" w:hAnsi="Times New Roman" w:cs="Times New Roman"/>
          <w:color w:val="333333"/>
          <w:sz w:val="24"/>
          <w:szCs w:val="24"/>
        </w:rPr>
        <w:t>Hiebert</w:t>
      </w:r>
      <w:proofErr w:type="spellEnd"/>
      <w:r w:rsidRPr="00967592">
        <w:rPr>
          <w:rFonts w:ascii="Times New Roman" w:hAnsi="Times New Roman" w:cs="Times New Roman"/>
          <w:color w:val="333333"/>
          <w:sz w:val="24"/>
          <w:szCs w:val="24"/>
        </w:rPr>
        <w:t xml:space="preserve">, J., </w:t>
      </w:r>
      <w:proofErr w:type="spellStart"/>
      <w:r w:rsidRPr="00967592">
        <w:rPr>
          <w:rFonts w:ascii="Times New Roman" w:hAnsi="Times New Roman" w:cs="Times New Roman"/>
          <w:color w:val="333333"/>
          <w:sz w:val="24"/>
          <w:szCs w:val="24"/>
        </w:rPr>
        <w:t>Gallimore</w:t>
      </w:r>
      <w:proofErr w:type="spellEnd"/>
      <w:r w:rsidRPr="00967592">
        <w:rPr>
          <w:rFonts w:ascii="Times New Roman" w:hAnsi="Times New Roman" w:cs="Times New Roman"/>
          <w:color w:val="333333"/>
          <w:sz w:val="24"/>
          <w:szCs w:val="24"/>
        </w:rPr>
        <w:t xml:space="preserve">, R., </w:t>
      </w:r>
      <w:proofErr w:type="spellStart"/>
      <w:r w:rsidRPr="00967592">
        <w:rPr>
          <w:rFonts w:ascii="Times New Roman" w:hAnsi="Times New Roman" w:cs="Times New Roman"/>
          <w:color w:val="333333"/>
          <w:sz w:val="24"/>
          <w:szCs w:val="24"/>
        </w:rPr>
        <w:t>Garnier</w:t>
      </w:r>
      <w:proofErr w:type="spellEnd"/>
      <w:r w:rsidRPr="00967592">
        <w:rPr>
          <w:rFonts w:ascii="Times New Roman" w:hAnsi="Times New Roman" w:cs="Times New Roman"/>
          <w:color w:val="333333"/>
          <w:sz w:val="24"/>
          <w:szCs w:val="24"/>
        </w:rPr>
        <w:t xml:space="preserve">, H., </w:t>
      </w:r>
      <w:proofErr w:type="spellStart"/>
      <w:r w:rsidRPr="00967592">
        <w:rPr>
          <w:rFonts w:ascii="Times New Roman" w:hAnsi="Times New Roman" w:cs="Times New Roman"/>
          <w:color w:val="333333"/>
          <w:sz w:val="24"/>
          <w:szCs w:val="24"/>
        </w:rPr>
        <w:t>Givvin</w:t>
      </w:r>
      <w:proofErr w:type="spellEnd"/>
      <w:r w:rsidRPr="00967592">
        <w:rPr>
          <w:rFonts w:ascii="Times New Roman" w:hAnsi="Times New Roman" w:cs="Times New Roman"/>
          <w:color w:val="333333"/>
          <w:sz w:val="24"/>
          <w:szCs w:val="24"/>
        </w:rPr>
        <w:t>, K. B., Hollingsworth, H., Jacobs, J., et al. </w:t>
      </w:r>
      <w:r w:rsidRPr="00967592">
        <w:rPr>
          <w:rFonts w:ascii="Times New Roman" w:hAnsi="Times New Roman" w:cs="Times New Roman"/>
          <w:sz w:val="24"/>
          <w:szCs w:val="24"/>
        </w:rPr>
        <w:t xml:space="preserve"> (2003) </w:t>
      </w:r>
      <w:r w:rsidRPr="00967592">
        <w:rPr>
          <w:rStyle w:val="Emphasis"/>
          <w:rFonts w:ascii="Times New Roman" w:hAnsi="Times New Roman" w:cs="Times New Roman"/>
          <w:sz w:val="24"/>
          <w:szCs w:val="24"/>
        </w:rPr>
        <w:t>Teaching mathematics in seven countries: Results from the TIMSS 1999 video study</w:t>
      </w:r>
      <w:r w:rsidRPr="00967592">
        <w:rPr>
          <w:rStyle w:val="Emphasis"/>
          <w:rFonts w:ascii="Times New Roman" w:hAnsi="Times New Roman" w:cs="Times New Roman"/>
          <w:i w:val="0"/>
          <w:sz w:val="24"/>
          <w:szCs w:val="24"/>
        </w:rPr>
        <w:t xml:space="preserve"> (NCES 2003-013) U.S. Department of Education. </w:t>
      </w:r>
      <w:smartTag w:uri="urn:schemas-microsoft-com:office:smarttags" w:element="City">
        <w:r w:rsidRPr="00967592">
          <w:rPr>
            <w:rStyle w:val="Emphasis"/>
            <w:rFonts w:ascii="Times New Roman" w:hAnsi="Times New Roman" w:cs="Times New Roman"/>
            <w:i w:val="0"/>
            <w:sz w:val="24"/>
            <w:szCs w:val="24"/>
          </w:rPr>
          <w:t>Washington</w:t>
        </w:r>
      </w:smartTag>
      <w:r w:rsidRPr="00967592">
        <w:rPr>
          <w:rStyle w:val="Emphasis"/>
          <w:rFonts w:ascii="Times New Roman" w:hAnsi="Times New Roman" w:cs="Times New Roman"/>
          <w:i w:val="0"/>
          <w:sz w:val="24"/>
          <w:szCs w:val="24"/>
        </w:rPr>
        <w:t xml:space="preserve">, </w:t>
      </w:r>
      <w:smartTag w:uri="urn:schemas-microsoft-com:office:smarttags" w:element="State">
        <w:r w:rsidRPr="00967592">
          <w:rPr>
            <w:rStyle w:val="Emphasis"/>
            <w:rFonts w:ascii="Times New Roman" w:hAnsi="Times New Roman" w:cs="Times New Roman"/>
            <w:i w:val="0"/>
            <w:sz w:val="24"/>
            <w:szCs w:val="24"/>
          </w:rPr>
          <w:t>DC</w:t>
        </w:r>
      </w:smartTag>
      <w:r w:rsidRPr="00967592">
        <w:rPr>
          <w:rStyle w:val="Emphasis"/>
          <w:rFonts w:ascii="Times New Roman" w:hAnsi="Times New Roman" w:cs="Times New Roman"/>
          <w:i w:val="0"/>
          <w:sz w:val="24"/>
          <w:szCs w:val="24"/>
        </w:rPr>
        <w:t xml:space="preserve">: </w:t>
      </w:r>
      <w:smartTag w:uri="urn:schemas-microsoft-com:office:smarttags" w:element="place">
        <w:smartTag w:uri="urn:schemas-microsoft-com:office:smarttags" w:element="PlaceName">
          <w:r w:rsidRPr="00967592">
            <w:rPr>
              <w:rStyle w:val="Emphasis"/>
              <w:rFonts w:ascii="Times New Roman" w:hAnsi="Times New Roman" w:cs="Times New Roman"/>
              <w:i w:val="0"/>
              <w:sz w:val="24"/>
              <w:szCs w:val="24"/>
            </w:rPr>
            <w:t>National</w:t>
          </w:r>
        </w:smartTag>
        <w:r w:rsidRPr="00967592">
          <w:rPr>
            <w:rStyle w:val="Emphasis"/>
            <w:rFonts w:ascii="Times New Roman" w:hAnsi="Times New Roman" w:cs="Times New Roman"/>
            <w:i w:val="0"/>
            <w:sz w:val="24"/>
            <w:szCs w:val="24"/>
          </w:rPr>
          <w:t xml:space="preserve"> </w:t>
        </w:r>
        <w:smartTag w:uri="urn:schemas-microsoft-com:office:smarttags" w:element="PlaceType">
          <w:r w:rsidRPr="00967592">
            <w:rPr>
              <w:rStyle w:val="Emphasis"/>
              <w:rFonts w:ascii="Times New Roman" w:hAnsi="Times New Roman" w:cs="Times New Roman"/>
              <w:i w:val="0"/>
              <w:sz w:val="24"/>
              <w:szCs w:val="24"/>
            </w:rPr>
            <w:t>Center</w:t>
          </w:r>
        </w:smartTag>
      </w:smartTag>
      <w:r w:rsidRPr="00967592">
        <w:rPr>
          <w:rStyle w:val="Emphasis"/>
          <w:rFonts w:ascii="Times New Roman" w:hAnsi="Times New Roman" w:cs="Times New Roman"/>
          <w:i w:val="0"/>
          <w:sz w:val="24"/>
          <w:szCs w:val="24"/>
        </w:rPr>
        <w:t xml:space="preserve"> for Education Statistics.</w:t>
      </w:r>
    </w:p>
    <w:p w:rsidR="00C92D47" w:rsidRPr="00967592" w:rsidRDefault="00C92D47" w:rsidP="00C92D47">
      <w:pPr>
        <w:spacing w:before="80" w:line="360" w:lineRule="auto"/>
        <w:ind w:left="720" w:hanging="720"/>
        <w:rPr>
          <w:rFonts w:ascii="Times New Roman" w:hAnsi="Times New Roman" w:cs="Times New Roman"/>
          <w:sz w:val="24"/>
          <w:szCs w:val="24"/>
        </w:rPr>
      </w:pPr>
      <w:r w:rsidRPr="00967592">
        <w:rPr>
          <w:rFonts w:ascii="Times New Roman" w:hAnsi="Times New Roman" w:cs="Times New Roman"/>
          <w:sz w:val="24"/>
          <w:szCs w:val="24"/>
        </w:rPr>
        <w:t>Karp</w:t>
      </w:r>
      <w:r w:rsidR="00CF1D24">
        <w:rPr>
          <w:rFonts w:ascii="Times New Roman" w:hAnsi="Times New Roman" w:cs="Times New Roman"/>
          <w:sz w:val="24"/>
          <w:szCs w:val="24"/>
        </w:rPr>
        <w:t xml:space="preserve">, A. (2007) ‘Once more the quadratic trinomial’: On the formation of methodological skills. </w:t>
      </w:r>
      <w:r w:rsidR="00CF1D24">
        <w:rPr>
          <w:rFonts w:ascii="Times New Roman" w:hAnsi="Times New Roman" w:cs="Times New Roman"/>
          <w:i/>
          <w:sz w:val="24"/>
          <w:szCs w:val="24"/>
        </w:rPr>
        <w:t>Journal of Mathematics Teacher Education.</w:t>
      </w:r>
      <w:r w:rsidR="00DA49FB">
        <w:rPr>
          <w:rFonts w:ascii="Times New Roman" w:hAnsi="Times New Roman" w:cs="Times New Roman"/>
          <w:i/>
          <w:sz w:val="24"/>
          <w:szCs w:val="24"/>
        </w:rPr>
        <w:t xml:space="preserve"> </w:t>
      </w:r>
      <w:r w:rsidR="00CF1D24">
        <w:rPr>
          <w:rFonts w:ascii="Times New Roman" w:hAnsi="Times New Roman" w:cs="Times New Roman"/>
          <w:sz w:val="24"/>
          <w:szCs w:val="24"/>
        </w:rPr>
        <w:t>10(4-6), 405-414.</w:t>
      </w:r>
    </w:p>
    <w:p w:rsidR="00C92D47" w:rsidRPr="00967592" w:rsidRDefault="00C92D47" w:rsidP="00C92D47">
      <w:pPr>
        <w:autoSpaceDE w:val="0"/>
        <w:autoSpaceDN w:val="0"/>
        <w:adjustRightInd w:val="0"/>
        <w:spacing w:before="80" w:line="360" w:lineRule="auto"/>
        <w:ind w:left="720" w:hanging="720"/>
        <w:rPr>
          <w:rFonts w:ascii="Times New Roman" w:hAnsi="Times New Roman" w:cs="Times New Roman"/>
          <w:sz w:val="24"/>
          <w:szCs w:val="24"/>
        </w:rPr>
      </w:pPr>
      <w:proofErr w:type="spellStart"/>
      <w:r w:rsidRPr="00967592">
        <w:rPr>
          <w:rFonts w:ascii="Times New Roman" w:hAnsi="Times New Roman" w:cs="Times New Roman"/>
          <w:sz w:val="24"/>
          <w:szCs w:val="24"/>
        </w:rPr>
        <w:t>Krutetskii</w:t>
      </w:r>
      <w:proofErr w:type="spellEnd"/>
      <w:r w:rsidRPr="00967592">
        <w:rPr>
          <w:rFonts w:ascii="Times New Roman" w:hAnsi="Times New Roman" w:cs="Times New Roman"/>
          <w:sz w:val="24"/>
          <w:szCs w:val="24"/>
        </w:rPr>
        <w:t xml:space="preserve">, V. (1976). </w:t>
      </w:r>
      <w:r w:rsidRPr="00967592">
        <w:rPr>
          <w:rFonts w:ascii="Times New Roman" w:hAnsi="Times New Roman" w:cs="Times New Roman"/>
          <w:i/>
          <w:iCs/>
          <w:sz w:val="24"/>
          <w:szCs w:val="24"/>
        </w:rPr>
        <w:t>Psychology of Mathematical Abilities in Schoolchildren</w:t>
      </w:r>
      <w:r w:rsidRPr="00967592">
        <w:rPr>
          <w:rFonts w:ascii="Times New Roman" w:hAnsi="Times New Roman" w:cs="Times New Roman"/>
          <w:sz w:val="24"/>
          <w:szCs w:val="24"/>
        </w:rPr>
        <w:t xml:space="preserve">. (J. Kilpatrick &amp; </w:t>
      </w:r>
      <w:smartTag w:uri="urn:schemas-microsoft-com:office:smarttags" w:element="place">
        <w:r w:rsidRPr="00967592">
          <w:rPr>
            <w:rFonts w:ascii="Times New Roman" w:hAnsi="Times New Roman" w:cs="Times New Roman"/>
            <w:sz w:val="24"/>
            <w:szCs w:val="24"/>
          </w:rPr>
          <w:t>I.</w:t>
        </w:r>
      </w:smartTag>
      <w:r w:rsidRPr="00967592">
        <w:rPr>
          <w:rFonts w:ascii="Times New Roman" w:hAnsi="Times New Roman" w:cs="Times New Roman"/>
          <w:sz w:val="24"/>
          <w:szCs w:val="24"/>
        </w:rPr>
        <w:t xml:space="preserve"> </w:t>
      </w:r>
      <w:proofErr w:type="spellStart"/>
      <w:r w:rsidRPr="00967592">
        <w:rPr>
          <w:rFonts w:ascii="Times New Roman" w:hAnsi="Times New Roman" w:cs="Times New Roman"/>
          <w:sz w:val="24"/>
          <w:szCs w:val="24"/>
        </w:rPr>
        <w:t>Wirszup</w:t>
      </w:r>
      <w:proofErr w:type="spellEnd"/>
      <w:r w:rsidRPr="00967592">
        <w:rPr>
          <w:rFonts w:ascii="Times New Roman" w:hAnsi="Times New Roman" w:cs="Times New Roman"/>
          <w:sz w:val="24"/>
          <w:szCs w:val="24"/>
        </w:rPr>
        <w:t xml:space="preserve">, (Eds.), J. Teller, Trans.). </w:t>
      </w:r>
      <w:smartTag w:uri="urn:schemas-microsoft-com:office:smarttags" w:element="City">
        <w:r w:rsidRPr="00967592">
          <w:rPr>
            <w:rFonts w:ascii="Times New Roman" w:hAnsi="Times New Roman" w:cs="Times New Roman"/>
            <w:sz w:val="24"/>
            <w:szCs w:val="24"/>
          </w:rPr>
          <w:t>Chicago</w:t>
        </w:r>
      </w:smartTag>
      <w:r w:rsidRPr="00967592">
        <w:rPr>
          <w:rFonts w:ascii="Times New Roman" w:hAnsi="Times New Roman" w:cs="Times New Roman"/>
          <w:sz w:val="24"/>
          <w:szCs w:val="24"/>
        </w:rPr>
        <w:t xml:space="preserve">: The </w:t>
      </w:r>
      <w:smartTag w:uri="urn:schemas-microsoft-com:office:smarttags" w:element="place">
        <w:smartTag w:uri="urn:schemas-microsoft-com:office:smarttags" w:element="PlaceType">
          <w:r w:rsidRPr="00967592">
            <w:rPr>
              <w:rFonts w:ascii="Times New Roman" w:hAnsi="Times New Roman" w:cs="Times New Roman"/>
              <w:sz w:val="24"/>
              <w:szCs w:val="24"/>
            </w:rPr>
            <w:t>University</w:t>
          </w:r>
        </w:smartTag>
        <w:r w:rsidRPr="00967592">
          <w:rPr>
            <w:rFonts w:ascii="Times New Roman" w:hAnsi="Times New Roman" w:cs="Times New Roman"/>
            <w:sz w:val="24"/>
            <w:szCs w:val="24"/>
          </w:rPr>
          <w:t xml:space="preserve"> of </w:t>
        </w:r>
        <w:smartTag w:uri="urn:schemas-microsoft-com:office:smarttags" w:element="PlaceName">
          <w:r w:rsidRPr="00967592">
            <w:rPr>
              <w:rFonts w:ascii="Times New Roman" w:hAnsi="Times New Roman" w:cs="Times New Roman"/>
              <w:sz w:val="24"/>
              <w:szCs w:val="24"/>
            </w:rPr>
            <w:t>Chicago</w:t>
          </w:r>
        </w:smartTag>
      </w:smartTag>
      <w:r w:rsidRPr="00967592">
        <w:rPr>
          <w:rFonts w:ascii="Times New Roman" w:hAnsi="Times New Roman" w:cs="Times New Roman"/>
          <w:sz w:val="24"/>
          <w:szCs w:val="24"/>
        </w:rPr>
        <w:t xml:space="preserve"> Press.</w:t>
      </w:r>
    </w:p>
    <w:p w:rsidR="00C92D47" w:rsidRPr="00967592" w:rsidRDefault="00C92D47" w:rsidP="00C92D47">
      <w:pPr>
        <w:autoSpaceDE w:val="0"/>
        <w:autoSpaceDN w:val="0"/>
        <w:adjustRightInd w:val="0"/>
        <w:spacing w:before="80" w:line="360" w:lineRule="auto"/>
        <w:ind w:left="720" w:hanging="720"/>
        <w:rPr>
          <w:rFonts w:ascii="Times New Roman" w:hAnsi="Times New Roman" w:cs="Times New Roman"/>
          <w:sz w:val="24"/>
          <w:szCs w:val="24"/>
        </w:rPr>
      </w:pPr>
      <w:proofErr w:type="spellStart"/>
      <w:r w:rsidRPr="00967592">
        <w:rPr>
          <w:rFonts w:ascii="Times New Roman" w:hAnsi="Times New Roman" w:cs="Times New Roman"/>
          <w:sz w:val="24"/>
          <w:szCs w:val="24"/>
        </w:rPr>
        <w:lastRenderedPageBreak/>
        <w:t>Marton</w:t>
      </w:r>
      <w:proofErr w:type="spellEnd"/>
      <w:r w:rsidRPr="00967592">
        <w:rPr>
          <w:rFonts w:ascii="Times New Roman" w:hAnsi="Times New Roman" w:cs="Times New Roman"/>
          <w:sz w:val="24"/>
          <w:szCs w:val="24"/>
        </w:rPr>
        <w:t xml:space="preserve">, F., Runesson, U., &amp; </w:t>
      </w:r>
      <w:proofErr w:type="spellStart"/>
      <w:r w:rsidRPr="00967592">
        <w:rPr>
          <w:rFonts w:ascii="Times New Roman" w:hAnsi="Times New Roman" w:cs="Times New Roman"/>
          <w:sz w:val="24"/>
          <w:szCs w:val="24"/>
        </w:rPr>
        <w:t>Tsui</w:t>
      </w:r>
      <w:proofErr w:type="spellEnd"/>
      <w:r w:rsidRPr="00967592">
        <w:rPr>
          <w:rFonts w:ascii="Times New Roman" w:hAnsi="Times New Roman" w:cs="Times New Roman"/>
          <w:sz w:val="24"/>
          <w:szCs w:val="24"/>
        </w:rPr>
        <w:t xml:space="preserve">, A. B. M. (2004). The Space of Learning. In F. </w:t>
      </w:r>
      <w:proofErr w:type="spellStart"/>
      <w:r w:rsidRPr="00967592">
        <w:rPr>
          <w:rFonts w:ascii="Times New Roman" w:hAnsi="Times New Roman" w:cs="Times New Roman"/>
          <w:sz w:val="24"/>
          <w:szCs w:val="24"/>
        </w:rPr>
        <w:t>Marton</w:t>
      </w:r>
      <w:proofErr w:type="spellEnd"/>
      <w:r w:rsidRPr="00967592">
        <w:rPr>
          <w:rFonts w:ascii="Times New Roman" w:hAnsi="Times New Roman" w:cs="Times New Roman"/>
          <w:sz w:val="24"/>
          <w:szCs w:val="24"/>
        </w:rPr>
        <w:t xml:space="preserve"> &amp; A. B. M. </w:t>
      </w:r>
      <w:proofErr w:type="spellStart"/>
      <w:r w:rsidRPr="00967592">
        <w:rPr>
          <w:rFonts w:ascii="Times New Roman" w:hAnsi="Times New Roman" w:cs="Times New Roman"/>
          <w:sz w:val="24"/>
          <w:szCs w:val="24"/>
        </w:rPr>
        <w:t>Tsui</w:t>
      </w:r>
      <w:proofErr w:type="spellEnd"/>
      <w:r w:rsidRPr="00967592">
        <w:rPr>
          <w:rFonts w:ascii="Times New Roman" w:hAnsi="Times New Roman" w:cs="Times New Roman"/>
          <w:sz w:val="24"/>
          <w:szCs w:val="24"/>
        </w:rPr>
        <w:t xml:space="preserve"> (Eds.), </w:t>
      </w:r>
      <w:r w:rsidRPr="00967592">
        <w:rPr>
          <w:rFonts w:ascii="Times New Roman" w:hAnsi="Times New Roman" w:cs="Times New Roman"/>
          <w:i/>
          <w:sz w:val="24"/>
          <w:szCs w:val="24"/>
        </w:rPr>
        <w:t>Classroom discourse and the space of learning</w:t>
      </w:r>
      <w:r w:rsidR="00251E95">
        <w:rPr>
          <w:rFonts w:ascii="Times New Roman" w:hAnsi="Times New Roman" w:cs="Times New Roman"/>
          <w:i/>
          <w:sz w:val="24"/>
          <w:szCs w:val="24"/>
        </w:rPr>
        <w:t>,</w:t>
      </w:r>
      <w:r w:rsidRPr="00967592">
        <w:rPr>
          <w:rFonts w:ascii="Times New Roman" w:hAnsi="Times New Roman" w:cs="Times New Roman"/>
          <w:i/>
          <w:sz w:val="24"/>
          <w:szCs w:val="24"/>
        </w:rPr>
        <w:t xml:space="preserve"> </w:t>
      </w:r>
      <w:r w:rsidR="00251E95">
        <w:rPr>
          <w:rFonts w:ascii="Times New Roman" w:hAnsi="Times New Roman" w:cs="Times New Roman"/>
          <w:sz w:val="24"/>
          <w:szCs w:val="24"/>
        </w:rPr>
        <w:t>pp. 3-40</w:t>
      </w:r>
      <w:r w:rsidRPr="00967592">
        <w:rPr>
          <w:rFonts w:ascii="Times New Roman" w:hAnsi="Times New Roman" w:cs="Times New Roman"/>
          <w:sz w:val="24"/>
          <w:szCs w:val="24"/>
        </w:rPr>
        <w:t xml:space="preserve">. </w:t>
      </w:r>
      <w:smartTag w:uri="urn:schemas-microsoft-com:office:smarttags" w:element="place">
        <w:smartTag w:uri="urn:schemas-microsoft-com:office:smarttags" w:element="City">
          <w:r w:rsidRPr="00967592">
            <w:rPr>
              <w:rFonts w:ascii="Times New Roman" w:hAnsi="Times New Roman" w:cs="Times New Roman"/>
              <w:sz w:val="24"/>
              <w:szCs w:val="24"/>
            </w:rPr>
            <w:t>Mahwah</w:t>
          </w:r>
        </w:smartTag>
        <w:r w:rsidR="00DA49FB">
          <w:rPr>
            <w:rFonts w:ascii="Times New Roman" w:hAnsi="Times New Roman" w:cs="Times New Roman"/>
            <w:sz w:val="24"/>
            <w:szCs w:val="24"/>
          </w:rPr>
          <w:t xml:space="preserve">, </w:t>
        </w:r>
        <w:smartTag w:uri="urn:schemas-microsoft-com:office:smarttags" w:element="State">
          <w:r w:rsidR="00DA49FB">
            <w:rPr>
              <w:rFonts w:ascii="Times New Roman" w:hAnsi="Times New Roman" w:cs="Times New Roman"/>
              <w:sz w:val="24"/>
              <w:szCs w:val="24"/>
            </w:rPr>
            <w:t>NJ</w:t>
          </w:r>
        </w:smartTag>
      </w:smartTag>
      <w:r w:rsidRPr="00967592">
        <w:rPr>
          <w:rFonts w:ascii="Times New Roman" w:hAnsi="Times New Roman" w:cs="Times New Roman"/>
          <w:sz w:val="24"/>
          <w:szCs w:val="24"/>
        </w:rPr>
        <w:t>: Lawrence Erlbaum Associates, Inc., Publishers.</w:t>
      </w:r>
    </w:p>
    <w:p w:rsidR="00C92D47" w:rsidRPr="00967592" w:rsidRDefault="00C92D47" w:rsidP="00C92D47">
      <w:pPr>
        <w:spacing w:before="80" w:line="360" w:lineRule="auto"/>
        <w:ind w:left="720" w:hanging="720"/>
        <w:rPr>
          <w:rFonts w:ascii="Times New Roman" w:hAnsi="Times New Roman" w:cs="Times New Roman"/>
          <w:color w:val="000000"/>
          <w:sz w:val="24"/>
          <w:szCs w:val="24"/>
        </w:rPr>
      </w:pPr>
      <w:r w:rsidRPr="00967592">
        <w:rPr>
          <w:rFonts w:ascii="Times New Roman" w:hAnsi="Times New Roman" w:cs="Times New Roman"/>
          <w:bCs/>
          <w:color w:val="000000"/>
          <w:sz w:val="24"/>
          <w:szCs w:val="24"/>
        </w:rPr>
        <w:t>Mason</w:t>
      </w:r>
      <w:r w:rsidR="001822FE">
        <w:rPr>
          <w:rFonts w:ascii="Times New Roman" w:hAnsi="Times New Roman" w:cs="Times New Roman"/>
          <w:bCs/>
          <w:color w:val="000000"/>
          <w:sz w:val="24"/>
          <w:szCs w:val="24"/>
        </w:rPr>
        <w:t>,</w:t>
      </w:r>
      <w:r w:rsidRPr="00967592">
        <w:rPr>
          <w:rFonts w:ascii="Times New Roman" w:hAnsi="Times New Roman" w:cs="Times New Roman"/>
          <w:color w:val="000000"/>
          <w:sz w:val="24"/>
          <w:szCs w:val="24"/>
        </w:rPr>
        <w:t xml:space="preserve"> J</w:t>
      </w:r>
      <w:r w:rsidR="001822FE">
        <w:rPr>
          <w:rFonts w:ascii="Times New Roman" w:hAnsi="Times New Roman" w:cs="Times New Roman"/>
          <w:color w:val="000000"/>
          <w:sz w:val="24"/>
          <w:szCs w:val="24"/>
        </w:rPr>
        <w:t>.</w:t>
      </w:r>
      <w:r w:rsidRPr="00967592">
        <w:rPr>
          <w:rFonts w:ascii="Times New Roman" w:hAnsi="Times New Roman" w:cs="Times New Roman"/>
          <w:color w:val="000000"/>
          <w:sz w:val="24"/>
          <w:szCs w:val="24"/>
        </w:rPr>
        <w:t xml:space="preserve"> &amp; </w:t>
      </w:r>
      <w:r w:rsidRPr="00967592">
        <w:rPr>
          <w:rFonts w:ascii="Times New Roman" w:hAnsi="Times New Roman" w:cs="Times New Roman"/>
          <w:bCs/>
          <w:color w:val="000000"/>
          <w:sz w:val="24"/>
          <w:szCs w:val="24"/>
        </w:rPr>
        <w:t>Johnston</w:t>
      </w:r>
      <w:r w:rsidRPr="00967592">
        <w:rPr>
          <w:rFonts w:ascii="Times New Roman" w:hAnsi="Times New Roman" w:cs="Times New Roman"/>
          <w:color w:val="000000"/>
          <w:sz w:val="24"/>
          <w:szCs w:val="24"/>
        </w:rPr>
        <w:t>-</w:t>
      </w:r>
      <w:r w:rsidRPr="00967592">
        <w:rPr>
          <w:rFonts w:ascii="Times New Roman" w:hAnsi="Times New Roman" w:cs="Times New Roman"/>
          <w:bCs/>
          <w:color w:val="000000"/>
          <w:sz w:val="24"/>
          <w:szCs w:val="24"/>
        </w:rPr>
        <w:t>Wilder</w:t>
      </w:r>
      <w:r w:rsidR="001822FE">
        <w:rPr>
          <w:rFonts w:ascii="Times New Roman" w:hAnsi="Times New Roman" w:cs="Times New Roman"/>
          <w:bCs/>
          <w:color w:val="000000"/>
          <w:sz w:val="24"/>
          <w:szCs w:val="24"/>
        </w:rPr>
        <w:t>,</w:t>
      </w:r>
      <w:r w:rsidRPr="00967592">
        <w:rPr>
          <w:rFonts w:ascii="Times New Roman" w:hAnsi="Times New Roman" w:cs="Times New Roman"/>
          <w:color w:val="000000"/>
          <w:sz w:val="24"/>
          <w:szCs w:val="24"/>
        </w:rPr>
        <w:t xml:space="preserve"> S</w:t>
      </w:r>
      <w:r w:rsidR="001822FE">
        <w:rPr>
          <w:rFonts w:ascii="Times New Roman" w:hAnsi="Times New Roman" w:cs="Times New Roman"/>
          <w:color w:val="000000"/>
          <w:sz w:val="24"/>
          <w:szCs w:val="24"/>
        </w:rPr>
        <w:t>.</w:t>
      </w:r>
      <w:r w:rsidRPr="00967592">
        <w:rPr>
          <w:rFonts w:ascii="Times New Roman" w:hAnsi="Times New Roman" w:cs="Times New Roman"/>
          <w:color w:val="000000"/>
          <w:sz w:val="24"/>
          <w:szCs w:val="24"/>
        </w:rPr>
        <w:t xml:space="preserve"> (2006) </w:t>
      </w:r>
      <w:r w:rsidRPr="00967592">
        <w:rPr>
          <w:rFonts w:ascii="Times New Roman" w:hAnsi="Times New Roman" w:cs="Times New Roman"/>
          <w:i/>
          <w:color w:val="000000"/>
          <w:sz w:val="24"/>
          <w:szCs w:val="24"/>
        </w:rPr>
        <w:t>Designing and Using Mathematical Tasks</w:t>
      </w:r>
      <w:r w:rsidRPr="00967592">
        <w:rPr>
          <w:rFonts w:ascii="Times New Roman" w:hAnsi="Times New Roman" w:cs="Times New Roman"/>
          <w:color w:val="000000"/>
          <w:sz w:val="24"/>
          <w:szCs w:val="24"/>
        </w:rPr>
        <w:t xml:space="preserve"> </w:t>
      </w:r>
      <w:smartTag w:uri="urn:schemas-microsoft-com:office:smarttags" w:element="City">
        <w:smartTag w:uri="urn:schemas-microsoft-com:office:smarttags" w:element="place">
          <w:r w:rsidR="00CF1D24">
            <w:rPr>
              <w:rFonts w:ascii="Times New Roman" w:hAnsi="Times New Roman" w:cs="Times New Roman"/>
              <w:color w:val="000000"/>
              <w:sz w:val="24"/>
              <w:szCs w:val="24"/>
            </w:rPr>
            <w:t>London</w:t>
          </w:r>
        </w:smartTag>
      </w:smartTag>
      <w:r w:rsidR="00CF1D24">
        <w:rPr>
          <w:rFonts w:ascii="Times New Roman" w:hAnsi="Times New Roman" w:cs="Times New Roman"/>
          <w:color w:val="000000"/>
          <w:sz w:val="24"/>
          <w:szCs w:val="24"/>
        </w:rPr>
        <w:t>: QED Publishing.</w:t>
      </w:r>
    </w:p>
    <w:p w:rsidR="00C92D47" w:rsidRPr="001822FE" w:rsidRDefault="00017599" w:rsidP="001822FE">
      <w:pPr>
        <w:pStyle w:val="Heading4"/>
        <w:spacing w:before="80" w:after="0" w:line="360" w:lineRule="auto"/>
        <w:ind w:left="720" w:hanging="720"/>
        <w:rPr>
          <w:b w:val="0"/>
          <w:bCs w:val="0"/>
          <w:sz w:val="24"/>
          <w:szCs w:val="24"/>
          <w:lang w:val="en-GB"/>
        </w:rPr>
      </w:pPr>
      <w:r>
        <w:rPr>
          <w:b w:val="0"/>
          <w:sz w:val="24"/>
        </w:rPr>
        <w:t>Palhares</w:t>
      </w:r>
      <w:r w:rsidR="001822FE">
        <w:rPr>
          <w:b w:val="0"/>
          <w:sz w:val="24"/>
        </w:rPr>
        <w:t xml:space="preserve">, P., Gomes, A., </w:t>
      </w:r>
      <w:proofErr w:type="spellStart"/>
      <w:r w:rsidR="001822FE">
        <w:rPr>
          <w:b w:val="0"/>
          <w:sz w:val="24"/>
        </w:rPr>
        <w:t>Carvalho</w:t>
      </w:r>
      <w:proofErr w:type="spellEnd"/>
      <w:r w:rsidR="001822FE">
        <w:rPr>
          <w:b w:val="0"/>
          <w:sz w:val="24"/>
        </w:rPr>
        <w:t xml:space="preserve">, P. &amp; </w:t>
      </w:r>
      <w:proofErr w:type="spellStart"/>
      <w:r w:rsidR="001822FE">
        <w:rPr>
          <w:b w:val="0"/>
          <w:sz w:val="24"/>
        </w:rPr>
        <w:t>Cebolo</w:t>
      </w:r>
      <w:proofErr w:type="spellEnd"/>
      <w:r w:rsidR="001822FE">
        <w:rPr>
          <w:b w:val="0"/>
          <w:sz w:val="24"/>
        </w:rPr>
        <w:t>, V.</w:t>
      </w:r>
      <w:r>
        <w:rPr>
          <w:b w:val="0"/>
          <w:sz w:val="24"/>
        </w:rPr>
        <w:t xml:space="preserve"> (forthcoming)</w:t>
      </w:r>
      <w:r w:rsidR="00805651" w:rsidRPr="00805651">
        <w:t xml:space="preserve"> </w:t>
      </w:r>
      <w:r w:rsidR="00805651" w:rsidRPr="001822FE">
        <w:rPr>
          <w:b w:val="0"/>
          <w:bCs w:val="0"/>
          <w:sz w:val="24"/>
        </w:rPr>
        <w:t>From teacher education to teacher practice: a gap affecting the implementation of tasks</w:t>
      </w:r>
      <w:r w:rsidR="001822FE">
        <w:rPr>
          <w:b w:val="0"/>
          <w:bCs w:val="0"/>
          <w:sz w:val="24"/>
        </w:rPr>
        <w:t>, in</w:t>
      </w:r>
      <w:r w:rsidRPr="001822FE">
        <w:rPr>
          <w:b w:val="0"/>
          <w:bCs w:val="0"/>
          <w:sz w:val="24"/>
          <w:szCs w:val="24"/>
          <w:lang w:val="en-GB"/>
        </w:rPr>
        <w:t xml:space="preserve"> </w:t>
      </w:r>
      <w:r w:rsidR="00805651" w:rsidRPr="001822FE">
        <w:rPr>
          <w:b w:val="0"/>
          <w:bCs w:val="0"/>
          <w:color w:val="000000"/>
          <w:sz w:val="24"/>
        </w:rPr>
        <w:t>R</w:t>
      </w:r>
      <w:r w:rsidR="001822FE">
        <w:rPr>
          <w:b w:val="0"/>
          <w:bCs w:val="0"/>
          <w:color w:val="000000"/>
          <w:sz w:val="24"/>
        </w:rPr>
        <w:t xml:space="preserve">. </w:t>
      </w:r>
      <w:proofErr w:type="spellStart"/>
      <w:r w:rsidR="00805651" w:rsidRPr="001822FE">
        <w:rPr>
          <w:b w:val="0"/>
          <w:bCs w:val="0"/>
          <w:color w:val="000000"/>
          <w:sz w:val="24"/>
        </w:rPr>
        <w:t>Millman</w:t>
      </w:r>
      <w:proofErr w:type="spellEnd"/>
      <w:r w:rsidR="00805651" w:rsidRPr="001822FE">
        <w:rPr>
          <w:b w:val="0"/>
          <w:bCs w:val="0"/>
          <w:color w:val="000000"/>
          <w:sz w:val="24"/>
        </w:rPr>
        <w:t>, B</w:t>
      </w:r>
      <w:r w:rsidR="001822FE">
        <w:rPr>
          <w:b w:val="0"/>
          <w:bCs w:val="0"/>
          <w:color w:val="000000"/>
          <w:sz w:val="24"/>
        </w:rPr>
        <w:t>.</w:t>
      </w:r>
      <w:r w:rsidR="00805651" w:rsidRPr="001822FE">
        <w:rPr>
          <w:b w:val="0"/>
          <w:bCs w:val="0"/>
          <w:color w:val="000000"/>
          <w:sz w:val="24"/>
        </w:rPr>
        <w:t xml:space="preserve"> </w:t>
      </w:r>
      <w:proofErr w:type="spellStart"/>
      <w:r w:rsidR="00805651" w:rsidRPr="001822FE">
        <w:rPr>
          <w:b w:val="0"/>
          <w:bCs w:val="0"/>
          <w:color w:val="000000"/>
          <w:sz w:val="24"/>
        </w:rPr>
        <w:t>Grevholm</w:t>
      </w:r>
      <w:proofErr w:type="spellEnd"/>
      <w:r w:rsidR="001822FE">
        <w:rPr>
          <w:b w:val="0"/>
          <w:bCs w:val="0"/>
          <w:color w:val="000000"/>
          <w:sz w:val="24"/>
        </w:rPr>
        <w:t xml:space="preserve"> &amp;</w:t>
      </w:r>
      <w:r w:rsidR="00805651" w:rsidRPr="001822FE">
        <w:rPr>
          <w:b w:val="0"/>
          <w:bCs w:val="0"/>
          <w:color w:val="000000"/>
          <w:sz w:val="24"/>
        </w:rPr>
        <w:t xml:space="preserve"> B</w:t>
      </w:r>
      <w:r w:rsidR="001822FE">
        <w:rPr>
          <w:b w:val="0"/>
          <w:bCs w:val="0"/>
          <w:color w:val="000000"/>
          <w:sz w:val="24"/>
        </w:rPr>
        <w:t>.</w:t>
      </w:r>
      <w:r w:rsidR="00805651" w:rsidRPr="001822FE">
        <w:rPr>
          <w:b w:val="0"/>
          <w:bCs w:val="0"/>
          <w:color w:val="000000"/>
          <w:sz w:val="24"/>
        </w:rPr>
        <w:t xml:space="preserve"> Clarke (eds.) </w:t>
      </w:r>
      <w:r w:rsidR="00805651" w:rsidRPr="001822FE">
        <w:rPr>
          <w:b w:val="0"/>
          <w:bCs w:val="0"/>
          <w:i/>
          <w:color w:val="000000"/>
          <w:sz w:val="24"/>
        </w:rPr>
        <w:t>Effective Tasks in Primary Mathematics Teacher</w:t>
      </w:r>
      <w:r w:rsidR="001822FE">
        <w:rPr>
          <w:b w:val="0"/>
          <w:bCs w:val="0"/>
          <w:color w:val="000000"/>
          <w:sz w:val="24"/>
        </w:rPr>
        <w:t xml:space="preserve"> </w:t>
      </w:r>
      <w:r w:rsidR="00805651" w:rsidRPr="001822FE">
        <w:rPr>
          <w:b w:val="0"/>
          <w:bCs w:val="0"/>
          <w:i/>
          <w:color w:val="000000"/>
          <w:sz w:val="24"/>
        </w:rPr>
        <w:t>Education</w:t>
      </w:r>
      <w:r w:rsidR="00805651" w:rsidRPr="001822FE">
        <w:rPr>
          <w:b w:val="0"/>
          <w:bCs w:val="0"/>
          <w:color w:val="000000"/>
          <w:sz w:val="24"/>
        </w:rPr>
        <w:t xml:space="preserve">, </w:t>
      </w:r>
      <w:r w:rsidR="00DA49FB">
        <w:rPr>
          <w:b w:val="0"/>
          <w:bCs w:val="0"/>
          <w:color w:val="000000"/>
          <w:sz w:val="24"/>
        </w:rPr>
        <w:t xml:space="preserve">NY: </w:t>
      </w:r>
      <w:r w:rsidR="00805651" w:rsidRPr="001822FE">
        <w:rPr>
          <w:b w:val="0"/>
          <w:bCs w:val="0"/>
          <w:color w:val="000000"/>
          <w:sz w:val="24"/>
        </w:rPr>
        <w:t>Springer</w:t>
      </w:r>
      <w:r w:rsidR="001822FE">
        <w:rPr>
          <w:b w:val="0"/>
          <w:bCs w:val="0"/>
          <w:color w:val="000000"/>
          <w:sz w:val="24"/>
        </w:rPr>
        <w:t>.</w:t>
      </w:r>
    </w:p>
    <w:p w:rsidR="00C92D47" w:rsidRPr="00967592" w:rsidRDefault="00C92D47" w:rsidP="00C92D47">
      <w:pPr>
        <w:pStyle w:val="Heading4"/>
        <w:spacing w:before="80" w:after="0" w:line="360" w:lineRule="auto"/>
        <w:ind w:left="720" w:hanging="720"/>
        <w:rPr>
          <w:b w:val="0"/>
          <w:sz w:val="24"/>
          <w:szCs w:val="24"/>
          <w:lang w:val="en-GB"/>
        </w:rPr>
      </w:pPr>
      <w:r w:rsidRPr="00967592">
        <w:rPr>
          <w:b w:val="0"/>
          <w:sz w:val="24"/>
          <w:szCs w:val="24"/>
        </w:rPr>
        <w:t xml:space="preserve">Runesson, U. (1999) </w:t>
      </w:r>
      <w:r w:rsidRPr="00251E95">
        <w:rPr>
          <w:b w:val="0"/>
          <w:i/>
          <w:sz w:val="24"/>
          <w:szCs w:val="24"/>
        </w:rPr>
        <w:t>The pedagogy of variation: Different ways of handling a mathematical topic /</w:t>
      </w:r>
      <w:proofErr w:type="spellStart"/>
      <w:r w:rsidRPr="00251E95">
        <w:rPr>
          <w:b w:val="0"/>
          <w:i/>
          <w:sz w:val="24"/>
          <w:szCs w:val="24"/>
        </w:rPr>
        <w:t>Variationens</w:t>
      </w:r>
      <w:proofErr w:type="spellEnd"/>
      <w:r w:rsidRPr="00251E95">
        <w:rPr>
          <w:b w:val="0"/>
          <w:i/>
          <w:sz w:val="24"/>
          <w:szCs w:val="24"/>
        </w:rPr>
        <w:t xml:space="preserve"> </w:t>
      </w:r>
      <w:proofErr w:type="spellStart"/>
      <w:r w:rsidRPr="00251E95">
        <w:rPr>
          <w:b w:val="0"/>
          <w:i/>
          <w:sz w:val="24"/>
          <w:szCs w:val="24"/>
        </w:rPr>
        <w:t>pedagogik</w:t>
      </w:r>
      <w:proofErr w:type="spellEnd"/>
      <w:r w:rsidRPr="00251E95">
        <w:rPr>
          <w:b w:val="0"/>
          <w:i/>
          <w:sz w:val="24"/>
          <w:szCs w:val="24"/>
        </w:rPr>
        <w:t xml:space="preserve">: </w:t>
      </w:r>
      <w:proofErr w:type="spellStart"/>
      <w:r w:rsidRPr="00251E95">
        <w:rPr>
          <w:b w:val="0"/>
          <w:i/>
          <w:sz w:val="24"/>
          <w:szCs w:val="24"/>
        </w:rPr>
        <w:t>Skilda</w:t>
      </w:r>
      <w:proofErr w:type="spellEnd"/>
      <w:r w:rsidRPr="00251E95">
        <w:rPr>
          <w:b w:val="0"/>
          <w:i/>
          <w:sz w:val="24"/>
          <w:szCs w:val="24"/>
        </w:rPr>
        <w:t xml:space="preserve"> </w:t>
      </w:r>
      <w:proofErr w:type="spellStart"/>
      <w:r w:rsidRPr="00251E95">
        <w:rPr>
          <w:b w:val="0"/>
          <w:i/>
          <w:sz w:val="24"/>
          <w:szCs w:val="24"/>
        </w:rPr>
        <w:t>sätt</w:t>
      </w:r>
      <w:proofErr w:type="spellEnd"/>
      <w:r w:rsidRPr="00251E95">
        <w:rPr>
          <w:b w:val="0"/>
          <w:i/>
          <w:sz w:val="24"/>
          <w:szCs w:val="24"/>
        </w:rPr>
        <w:t xml:space="preserve"> </w:t>
      </w:r>
      <w:proofErr w:type="spellStart"/>
      <w:r w:rsidRPr="00251E95">
        <w:rPr>
          <w:b w:val="0"/>
          <w:i/>
          <w:sz w:val="24"/>
          <w:szCs w:val="24"/>
        </w:rPr>
        <w:t>att</w:t>
      </w:r>
      <w:proofErr w:type="spellEnd"/>
      <w:r w:rsidRPr="00251E95">
        <w:rPr>
          <w:b w:val="0"/>
          <w:i/>
          <w:sz w:val="24"/>
          <w:szCs w:val="24"/>
        </w:rPr>
        <w:t xml:space="preserve"> </w:t>
      </w:r>
      <w:proofErr w:type="spellStart"/>
      <w:r w:rsidRPr="00251E95">
        <w:rPr>
          <w:b w:val="0"/>
          <w:i/>
          <w:sz w:val="24"/>
          <w:szCs w:val="24"/>
        </w:rPr>
        <w:t>behandla</w:t>
      </w:r>
      <w:proofErr w:type="spellEnd"/>
      <w:r w:rsidRPr="00251E95">
        <w:rPr>
          <w:b w:val="0"/>
          <w:i/>
          <w:sz w:val="24"/>
          <w:szCs w:val="24"/>
        </w:rPr>
        <w:t xml:space="preserve"> </w:t>
      </w:r>
      <w:proofErr w:type="spellStart"/>
      <w:r w:rsidRPr="00251E95">
        <w:rPr>
          <w:b w:val="0"/>
          <w:i/>
          <w:sz w:val="24"/>
          <w:szCs w:val="24"/>
        </w:rPr>
        <w:t>ett</w:t>
      </w:r>
      <w:proofErr w:type="spellEnd"/>
      <w:r w:rsidRPr="00251E95">
        <w:rPr>
          <w:b w:val="0"/>
          <w:i/>
          <w:sz w:val="24"/>
          <w:szCs w:val="24"/>
        </w:rPr>
        <w:t xml:space="preserve"> </w:t>
      </w:r>
      <w:proofErr w:type="spellStart"/>
      <w:r w:rsidRPr="00251E95">
        <w:rPr>
          <w:b w:val="0"/>
          <w:i/>
          <w:sz w:val="24"/>
          <w:szCs w:val="24"/>
        </w:rPr>
        <w:t>matematiskt</w:t>
      </w:r>
      <w:proofErr w:type="spellEnd"/>
      <w:r w:rsidRPr="00251E95">
        <w:rPr>
          <w:b w:val="0"/>
          <w:i/>
          <w:sz w:val="24"/>
          <w:szCs w:val="24"/>
        </w:rPr>
        <w:t xml:space="preserve"> </w:t>
      </w:r>
      <w:proofErr w:type="spellStart"/>
      <w:r w:rsidRPr="00251E95">
        <w:rPr>
          <w:b w:val="0"/>
          <w:i/>
          <w:sz w:val="24"/>
          <w:szCs w:val="24"/>
        </w:rPr>
        <w:t>innehåll</w:t>
      </w:r>
      <w:proofErr w:type="spellEnd"/>
      <w:r w:rsidRPr="00251E95">
        <w:rPr>
          <w:b w:val="0"/>
          <w:i/>
          <w:sz w:val="24"/>
          <w:szCs w:val="24"/>
        </w:rPr>
        <w:t>/</w:t>
      </w:r>
      <w:r w:rsidRPr="00967592">
        <w:rPr>
          <w:b w:val="0"/>
          <w:sz w:val="24"/>
          <w:szCs w:val="24"/>
        </w:rPr>
        <w:t xml:space="preserve"> </w:t>
      </w:r>
      <w:proofErr w:type="spellStart"/>
      <w:r w:rsidRPr="00967592">
        <w:rPr>
          <w:b w:val="0"/>
          <w:sz w:val="24"/>
          <w:szCs w:val="24"/>
        </w:rPr>
        <w:t>Göteborg</w:t>
      </w:r>
      <w:proofErr w:type="spellEnd"/>
      <w:r w:rsidRPr="00967592">
        <w:rPr>
          <w:b w:val="0"/>
          <w:sz w:val="24"/>
          <w:szCs w:val="24"/>
        </w:rPr>
        <w:t xml:space="preserve">: </w:t>
      </w:r>
      <w:proofErr w:type="spellStart"/>
      <w:r w:rsidRPr="00967592">
        <w:rPr>
          <w:b w:val="0"/>
          <w:sz w:val="24"/>
          <w:szCs w:val="24"/>
        </w:rPr>
        <w:t>Acta</w:t>
      </w:r>
      <w:proofErr w:type="spellEnd"/>
      <w:r w:rsidRPr="00967592">
        <w:rPr>
          <w:b w:val="0"/>
          <w:sz w:val="24"/>
          <w:szCs w:val="24"/>
        </w:rPr>
        <w:t xml:space="preserve"> </w:t>
      </w:r>
      <w:proofErr w:type="spellStart"/>
      <w:r w:rsidRPr="00967592">
        <w:rPr>
          <w:b w:val="0"/>
          <w:sz w:val="24"/>
          <w:szCs w:val="24"/>
        </w:rPr>
        <w:t>Univertsitatis</w:t>
      </w:r>
      <w:proofErr w:type="spellEnd"/>
      <w:r w:rsidRPr="00967592">
        <w:rPr>
          <w:b w:val="0"/>
          <w:sz w:val="24"/>
          <w:szCs w:val="24"/>
        </w:rPr>
        <w:t xml:space="preserve"> </w:t>
      </w:r>
      <w:proofErr w:type="spellStart"/>
      <w:r w:rsidRPr="00967592">
        <w:rPr>
          <w:b w:val="0"/>
          <w:sz w:val="24"/>
          <w:szCs w:val="24"/>
        </w:rPr>
        <w:t>Gothoburgensis</w:t>
      </w:r>
      <w:proofErr w:type="spellEnd"/>
      <w:r w:rsidRPr="00967592">
        <w:rPr>
          <w:b w:val="0"/>
          <w:sz w:val="24"/>
          <w:szCs w:val="24"/>
        </w:rPr>
        <w:t>.</w:t>
      </w:r>
    </w:p>
    <w:p w:rsidR="00C92D47" w:rsidRPr="00967592" w:rsidRDefault="00C92D47" w:rsidP="00C92D47">
      <w:pPr>
        <w:autoSpaceDE w:val="0"/>
        <w:autoSpaceDN w:val="0"/>
        <w:adjustRightInd w:val="0"/>
        <w:spacing w:before="80" w:line="360" w:lineRule="auto"/>
        <w:ind w:left="720" w:hanging="720"/>
        <w:rPr>
          <w:rFonts w:ascii="Times New Roman" w:hAnsi="Times New Roman" w:cs="Times New Roman"/>
          <w:color w:val="000000"/>
          <w:sz w:val="24"/>
          <w:szCs w:val="24"/>
        </w:rPr>
      </w:pPr>
      <w:proofErr w:type="spellStart"/>
      <w:r w:rsidRPr="00967592">
        <w:rPr>
          <w:rFonts w:ascii="Times New Roman" w:hAnsi="Times New Roman" w:cs="Times New Roman"/>
          <w:bCs/>
          <w:sz w:val="24"/>
          <w:szCs w:val="24"/>
        </w:rPr>
        <w:t>Sierpinska</w:t>
      </w:r>
      <w:proofErr w:type="spellEnd"/>
      <w:r w:rsidRPr="00967592">
        <w:rPr>
          <w:rFonts w:ascii="Times New Roman" w:hAnsi="Times New Roman" w:cs="Times New Roman"/>
          <w:sz w:val="24"/>
          <w:szCs w:val="24"/>
        </w:rPr>
        <w:t xml:space="preserve">, A. (2004). Research in mathematics education through a keyhole: task </w:t>
      </w:r>
      <w:proofErr w:type="spellStart"/>
      <w:r w:rsidRPr="00967592">
        <w:rPr>
          <w:rFonts w:ascii="Times New Roman" w:hAnsi="Times New Roman" w:cs="Times New Roman"/>
          <w:sz w:val="24"/>
          <w:szCs w:val="24"/>
        </w:rPr>
        <w:t>problematization</w:t>
      </w:r>
      <w:proofErr w:type="spellEnd"/>
      <w:r w:rsidRPr="00967592">
        <w:rPr>
          <w:rFonts w:ascii="Times New Roman" w:hAnsi="Times New Roman" w:cs="Times New Roman"/>
          <w:sz w:val="24"/>
          <w:szCs w:val="24"/>
        </w:rPr>
        <w:t xml:space="preserve">. </w:t>
      </w:r>
      <w:r w:rsidRPr="00967592">
        <w:rPr>
          <w:rFonts w:ascii="Times New Roman" w:hAnsi="Times New Roman" w:cs="Times New Roman"/>
          <w:i/>
          <w:iCs/>
          <w:sz w:val="24"/>
          <w:szCs w:val="24"/>
        </w:rPr>
        <w:t>For the Learning of Mathematics, 24</w:t>
      </w:r>
      <w:r w:rsidRPr="00967592">
        <w:rPr>
          <w:rFonts w:ascii="Times New Roman" w:hAnsi="Times New Roman" w:cs="Times New Roman"/>
          <w:sz w:val="24"/>
          <w:szCs w:val="24"/>
        </w:rPr>
        <w:t>(2), 7-15.</w:t>
      </w:r>
    </w:p>
    <w:p w:rsidR="00C92D47" w:rsidRDefault="00C92D47" w:rsidP="00C92D47">
      <w:pPr>
        <w:pStyle w:val="Heading4"/>
        <w:spacing w:before="80" w:after="0" w:line="360" w:lineRule="auto"/>
        <w:ind w:left="720" w:hanging="720"/>
        <w:rPr>
          <w:b w:val="0"/>
          <w:sz w:val="24"/>
          <w:szCs w:val="24"/>
        </w:rPr>
      </w:pPr>
      <w:r w:rsidRPr="00967592">
        <w:rPr>
          <w:b w:val="0"/>
          <w:sz w:val="24"/>
          <w:szCs w:val="24"/>
        </w:rPr>
        <w:t xml:space="preserve">Stein, M. K., Grover, B. W., &amp; </w:t>
      </w:r>
      <w:proofErr w:type="spellStart"/>
      <w:r w:rsidRPr="00967592">
        <w:rPr>
          <w:b w:val="0"/>
          <w:sz w:val="24"/>
          <w:szCs w:val="24"/>
        </w:rPr>
        <w:t>Henningsen</w:t>
      </w:r>
      <w:proofErr w:type="spellEnd"/>
      <w:r w:rsidRPr="00967592">
        <w:rPr>
          <w:b w:val="0"/>
          <w:sz w:val="24"/>
          <w:szCs w:val="24"/>
        </w:rPr>
        <w:t>, M. A. (1996). Building student capacity for mathematical thinking and reasoning: An analysis of mathematical tasks used in reform classrooms.</w:t>
      </w:r>
      <w:r w:rsidRPr="00967592">
        <w:rPr>
          <w:b w:val="0"/>
          <w:i/>
          <w:sz w:val="24"/>
          <w:szCs w:val="24"/>
        </w:rPr>
        <w:t xml:space="preserve"> American Educational Research Journal</w:t>
      </w:r>
      <w:r w:rsidRPr="00967592">
        <w:rPr>
          <w:b w:val="0"/>
          <w:sz w:val="24"/>
          <w:szCs w:val="24"/>
        </w:rPr>
        <w:t>, 33(2), 455-488.</w:t>
      </w:r>
    </w:p>
    <w:p w:rsidR="00017599" w:rsidRPr="001822FE" w:rsidRDefault="00805651" w:rsidP="001822FE">
      <w:pPr>
        <w:pStyle w:val="Heading4"/>
        <w:spacing w:before="80" w:after="0" w:line="360" w:lineRule="auto"/>
        <w:ind w:left="720" w:hanging="720"/>
        <w:rPr>
          <w:b w:val="0"/>
          <w:bCs w:val="0"/>
          <w:color w:val="000000"/>
          <w:sz w:val="24"/>
        </w:rPr>
      </w:pPr>
      <w:r w:rsidRPr="001822FE">
        <w:rPr>
          <w:b w:val="0"/>
          <w:bCs w:val="0"/>
          <w:color w:val="000000"/>
          <w:sz w:val="24"/>
        </w:rPr>
        <w:t xml:space="preserve">Stylianides, A. J., &amp; Stylianides, G. J. (in press). Studying the classroom implementation of tasks: High-level mathematical tasks embedded in "real-life" </w:t>
      </w:r>
      <w:r w:rsidRPr="001822FE">
        <w:rPr>
          <w:b w:val="0"/>
          <w:bCs w:val="0"/>
          <w:color w:val="000000"/>
          <w:sz w:val="24"/>
          <w:szCs w:val="24"/>
        </w:rPr>
        <w:t xml:space="preserve">contexts. </w:t>
      </w:r>
      <w:r w:rsidRPr="001822FE">
        <w:rPr>
          <w:b w:val="0"/>
          <w:bCs w:val="0"/>
          <w:i/>
          <w:color w:val="000000"/>
          <w:sz w:val="24"/>
          <w:szCs w:val="24"/>
        </w:rPr>
        <w:t>Teaching and Teacher Education</w:t>
      </w:r>
      <w:r w:rsidRPr="001822FE">
        <w:rPr>
          <w:b w:val="0"/>
          <w:bCs w:val="0"/>
          <w:color w:val="000000"/>
          <w:sz w:val="24"/>
          <w:szCs w:val="24"/>
        </w:rPr>
        <w:t>.</w:t>
      </w:r>
    </w:p>
    <w:p w:rsidR="00C92D47" w:rsidRPr="00967592" w:rsidRDefault="00C92D47" w:rsidP="00C92D47">
      <w:pPr>
        <w:spacing w:before="80" w:line="360" w:lineRule="auto"/>
        <w:ind w:left="720" w:hanging="720"/>
        <w:rPr>
          <w:rFonts w:ascii="Times New Roman" w:hAnsi="Times New Roman" w:cs="Times New Roman"/>
          <w:sz w:val="24"/>
          <w:szCs w:val="24"/>
        </w:rPr>
      </w:pPr>
      <w:r w:rsidRPr="00967592">
        <w:rPr>
          <w:rFonts w:ascii="Times New Roman" w:hAnsi="Times New Roman" w:cs="Times New Roman"/>
          <w:color w:val="000000"/>
          <w:sz w:val="24"/>
          <w:szCs w:val="24"/>
        </w:rPr>
        <w:t xml:space="preserve">Swan, M. (2006) </w:t>
      </w:r>
      <w:r w:rsidRPr="00967592">
        <w:rPr>
          <w:rFonts w:ascii="Times New Roman" w:hAnsi="Times New Roman" w:cs="Times New Roman"/>
          <w:i/>
          <w:sz w:val="24"/>
          <w:szCs w:val="24"/>
        </w:rPr>
        <w:t>Collaborative Learning in Mathematics: A Challenge to Our Beliefs and Practices</w:t>
      </w:r>
      <w:r w:rsidRPr="00967592">
        <w:rPr>
          <w:rFonts w:ascii="Times New Roman" w:hAnsi="Times New Roman" w:cs="Times New Roman"/>
          <w:sz w:val="24"/>
          <w:szCs w:val="24"/>
        </w:rPr>
        <w:t xml:space="preserve"> </w:t>
      </w:r>
      <w:smartTag w:uri="urn:schemas-microsoft-com:office:smarttags" w:element="place">
        <w:smartTag w:uri="urn:schemas-microsoft-com:office:smarttags" w:element="City">
          <w:r w:rsidRPr="00967592">
            <w:rPr>
              <w:rFonts w:ascii="Times New Roman" w:hAnsi="Times New Roman" w:cs="Times New Roman"/>
              <w:sz w:val="24"/>
              <w:szCs w:val="24"/>
            </w:rPr>
            <w:t>London</w:t>
          </w:r>
        </w:smartTag>
      </w:smartTag>
      <w:r w:rsidRPr="00967592">
        <w:rPr>
          <w:rFonts w:ascii="Times New Roman" w:hAnsi="Times New Roman" w:cs="Times New Roman"/>
          <w:sz w:val="24"/>
          <w:szCs w:val="24"/>
        </w:rPr>
        <w:t xml:space="preserve">: National Institute of Adult Continuing Education </w:t>
      </w:r>
    </w:p>
    <w:p w:rsidR="00C92D47" w:rsidRPr="00967592" w:rsidRDefault="00C92D47" w:rsidP="00C92D47">
      <w:pPr>
        <w:autoSpaceDE w:val="0"/>
        <w:autoSpaceDN w:val="0"/>
        <w:adjustRightInd w:val="0"/>
        <w:spacing w:before="80" w:line="360" w:lineRule="auto"/>
        <w:ind w:left="720" w:hanging="720"/>
        <w:rPr>
          <w:rFonts w:ascii="Times New Roman" w:hAnsi="Times New Roman" w:cs="Times New Roman"/>
          <w:sz w:val="24"/>
          <w:szCs w:val="24"/>
        </w:rPr>
      </w:pPr>
      <w:r w:rsidRPr="00967592">
        <w:rPr>
          <w:rFonts w:ascii="Times New Roman" w:hAnsi="Times New Roman" w:cs="Times New Roman"/>
          <w:sz w:val="24"/>
          <w:szCs w:val="24"/>
        </w:rPr>
        <w:t xml:space="preserve">Van </w:t>
      </w:r>
      <w:proofErr w:type="spellStart"/>
      <w:r w:rsidRPr="00967592">
        <w:rPr>
          <w:rFonts w:ascii="Times New Roman" w:hAnsi="Times New Roman" w:cs="Times New Roman"/>
          <w:sz w:val="24"/>
          <w:szCs w:val="24"/>
        </w:rPr>
        <w:t>Hiele</w:t>
      </w:r>
      <w:proofErr w:type="spellEnd"/>
      <w:r w:rsidRPr="00967592">
        <w:rPr>
          <w:rFonts w:ascii="Times New Roman" w:hAnsi="Times New Roman" w:cs="Times New Roman"/>
          <w:sz w:val="24"/>
          <w:szCs w:val="24"/>
        </w:rPr>
        <w:t xml:space="preserve">, P. M. (1959). The child’s thought and geometry. In T. P. Carpenter, J. A. </w:t>
      </w:r>
      <w:proofErr w:type="spellStart"/>
      <w:r w:rsidRPr="00967592">
        <w:rPr>
          <w:rFonts w:ascii="Times New Roman" w:hAnsi="Times New Roman" w:cs="Times New Roman"/>
          <w:sz w:val="24"/>
          <w:szCs w:val="24"/>
        </w:rPr>
        <w:t>Dossey</w:t>
      </w:r>
      <w:proofErr w:type="spellEnd"/>
      <w:r w:rsidRPr="00967592">
        <w:rPr>
          <w:rFonts w:ascii="Times New Roman" w:hAnsi="Times New Roman" w:cs="Times New Roman"/>
          <w:sz w:val="24"/>
          <w:szCs w:val="24"/>
        </w:rPr>
        <w:t xml:space="preserve">, &amp; J. L. Koehler (Eds.) (2003) </w:t>
      </w:r>
      <w:r w:rsidRPr="00967592">
        <w:rPr>
          <w:rFonts w:ascii="Times New Roman" w:hAnsi="Times New Roman" w:cs="Times New Roman"/>
          <w:i/>
          <w:sz w:val="24"/>
          <w:szCs w:val="24"/>
        </w:rPr>
        <w:t>Classics in mathematics education research</w:t>
      </w:r>
      <w:r w:rsidR="00251E95">
        <w:rPr>
          <w:rFonts w:ascii="Times New Roman" w:hAnsi="Times New Roman" w:cs="Times New Roman"/>
          <w:i/>
          <w:sz w:val="24"/>
          <w:szCs w:val="24"/>
        </w:rPr>
        <w:t xml:space="preserve">, </w:t>
      </w:r>
      <w:r w:rsidR="00251E95">
        <w:rPr>
          <w:rFonts w:ascii="Times New Roman" w:hAnsi="Times New Roman" w:cs="Times New Roman"/>
          <w:sz w:val="24"/>
          <w:szCs w:val="24"/>
        </w:rPr>
        <w:t>pp. 60-66</w:t>
      </w:r>
      <w:r w:rsidRPr="00967592">
        <w:rPr>
          <w:rFonts w:ascii="Times New Roman" w:hAnsi="Times New Roman" w:cs="Times New Roman"/>
          <w:sz w:val="24"/>
          <w:szCs w:val="24"/>
        </w:rPr>
        <w:t xml:space="preserve">. </w:t>
      </w:r>
      <w:smartTag w:uri="urn:schemas-microsoft-com:office:smarttags" w:element="place">
        <w:smartTag w:uri="urn:schemas-microsoft-com:office:smarttags" w:element="City">
          <w:r w:rsidRPr="00967592">
            <w:rPr>
              <w:rFonts w:ascii="Times New Roman" w:hAnsi="Times New Roman" w:cs="Times New Roman"/>
              <w:sz w:val="24"/>
              <w:szCs w:val="24"/>
            </w:rPr>
            <w:t>Reston</w:t>
          </w:r>
        </w:smartTag>
        <w:r w:rsidRPr="00967592">
          <w:rPr>
            <w:rFonts w:ascii="Times New Roman" w:hAnsi="Times New Roman" w:cs="Times New Roman"/>
            <w:sz w:val="24"/>
            <w:szCs w:val="24"/>
          </w:rPr>
          <w:t xml:space="preserve">, </w:t>
        </w:r>
        <w:smartTag w:uri="urn:schemas-microsoft-com:office:smarttags" w:element="State">
          <w:r w:rsidRPr="00967592">
            <w:rPr>
              <w:rFonts w:ascii="Times New Roman" w:hAnsi="Times New Roman" w:cs="Times New Roman"/>
              <w:sz w:val="24"/>
              <w:szCs w:val="24"/>
            </w:rPr>
            <w:t>VA</w:t>
          </w:r>
        </w:smartTag>
      </w:smartTag>
      <w:r w:rsidRPr="00967592">
        <w:rPr>
          <w:rFonts w:ascii="Times New Roman" w:hAnsi="Times New Roman" w:cs="Times New Roman"/>
          <w:sz w:val="24"/>
          <w:szCs w:val="24"/>
        </w:rPr>
        <w:t>: National Council of Teachers of Mathematics.</w:t>
      </w:r>
    </w:p>
    <w:p w:rsidR="00E74CF0" w:rsidRPr="00251E95" w:rsidRDefault="00251E95" w:rsidP="00251E95">
      <w:pPr>
        <w:pStyle w:val="Heading4"/>
        <w:spacing w:before="80" w:after="0" w:line="360" w:lineRule="auto"/>
        <w:ind w:left="720" w:hanging="720"/>
        <w:rPr>
          <w:b w:val="0"/>
          <w:bCs w:val="0"/>
          <w:sz w:val="24"/>
          <w:szCs w:val="24"/>
        </w:rPr>
      </w:pPr>
      <w:r w:rsidRPr="00251E95">
        <w:rPr>
          <w:b w:val="0"/>
          <w:bCs w:val="0"/>
          <w:sz w:val="24"/>
          <w:szCs w:val="20"/>
        </w:rPr>
        <w:t xml:space="preserve">Watson, A. &amp; Mason, J. (2005)‘Enriching Student Learning: structuring tasks so as to limit possible </w:t>
      </w:r>
      <w:proofErr w:type="spellStart"/>
      <w:r w:rsidRPr="00251E95">
        <w:rPr>
          <w:b w:val="0"/>
          <w:bCs w:val="0"/>
          <w:sz w:val="24"/>
          <w:szCs w:val="20"/>
        </w:rPr>
        <w:t>generalisations'</w:t>
      </w:r>
      <w:proofErr w:type="spellEnd"/>
      <w:r w:rsidRPr="00251E95">
        <w:rPr>
          <w:b w:val="0"/>
          <w:bCs w:val="0"/>
          <w:sz w:val="24"/>
          <w:szCs w:val="20"/>
        </w:rPr>
        <w:t xml:space="preserve">. Invited symposium paper presented at </w:t>
      </w:r>
      <w:proofErr w:type="spellStart"/>
      <w:r w:rsidRPr="00251E95">
        <w:rPr>
          <w:b w:val="0"/>
          <w:bCs w:val="0"/>
          <w:sz w:val="24"/>
          <w:szCs w:val="20"/>
        </w:rPr>
        <w:t>EARLi</w:t>
      </w:r>
      <w:proofErr w:type="spellEnd"/>
      <w:r w:rsidRPr="00251E95">
        <w:rPr>
          <w:b w:val="0"/>
          <w:bCs w:val="0"/>
          <w:sz w:val="24"/>
          <w:szCs w:val="20"/>
        </w:rPr>
        <w:t xml:space="preserve">, </w:t>
      </w:r>
      <w:smartTag w:uri="urn:schemas-microsoft-com:office:smarttags" w:element="place">
        <w:smartTag w:uri="urn:schemas-microsoft-com:office:smarttags" w:element="PlaceType">
          <w:r w:rsidRPr="00251E95">
            <w:rPr>
              <w:b w:val="0"/>
              <w:bCs w:val="0"/>
              <w:sz w:val="24"/>
              <w:szCs w:val="20"/>
            </w:rPr>
            <w:t>University</w:t>
          </w:r>
        </w:smartTag>
        <w:r w:rsidRPr="00251E95">
          <w:rPr>
            <w:b w:val="0"/>
            <w:bCs w:val="0"/>
            <w:sz w:val="24"/>
            <w:szCs w:val="20"/>
          </w:rPr>
          <w:t xml:space="preserve"> of </w:t>
        </w:r>
        <w:smartTag w:uri="urn:schemas-microsoft-com:office:smarttags" w:element="PlaceName">
          <w:r w:rsidRPr="00251E95">
            <w:rPr>
              <w:b w:val="0"/>
              <w:bCs w:val="0"/>
              <w:sz w:val="24"/>
              <w:szCs w:val="20"/>
            </w:rPr>
            <w:t>Cyprus</w:t>
          </w:r>
        </w:smartTag>
      </w:smartTag>
      <w:r w:rsidRPr="00251E95">
        <w:rPr>
          <w:b w:val="0"/>
          <w:bCs w:val="0"/>
          <w:sz w:val="24"/>
          <w:szCs w:val="20"/>
        </w:rPr>
        <w:t>.</w:t>
      </w:r>
    </w:p>
    <w:p w:rsidR="00E74CF0" w:rsidRPr="00E74CF0" w:rsidRDefault="00E74CF0" w:rsidP="00E74CF0">
      <w:pPr>
        <w:rPr>
          <w:rFonts w:ascii="Times New Roman" w:hAnsi="Times New Roman" w:cs="Times New Roman"/>
          <w:sz w:val="24"/>
          <w:szCs w:val="24"/>
        </w:rPr>
      </w:pPr>
    </w:p>
    <w:p w:rsidR="00E74CF0" w:rsidRPr="00E74CF0" w:rsidRDefault="00E74CF0" w:rsidP="00E74CF0">
      <w:pPr>
        <w:rPr>
          <w:rFonts w:ascii="Times New Roman" w:hAnsi="Times New Roman" w:cs="Times New Roman"/>
          <w:sz w:val="24"/>
          <w:szCs w:val="24"/>
        </w:rPr>
      </w:pPr>
    </w:p>
    <w:p w:rsidR="00E74CF0" w:rsidRDefault="00E74CF0" w:rsidP="00E74CF0">
      <w:pPr>
        <w:rPr>
          <w:rFonts w:ascii="Times New Roman" w:hAnsi="Times New Roman" w:cs="Times New Roman"/>
          <w:sz w:val="24"/>
          <w:szCs w:val="24"/>
        </w:rPr>
      </w:pPr>
    </w:p>
    <w:p w:rsidR="00E74CF0" w:rsidRDefault="00E74CF0" w:rsidP="00E74CF0">
      <w:pPr>
        <w:rPr>
          <w:rFonts w:ascii="Times New Roman" w:hAnsi="Times New Roman" w:cs="Times New Roman"/>
          <w:sz w:val="24"/>
          <w:szCs w:val="24"/>
        </w:rPr>
      </w:pPr>
    </w:p>
    <w:p w:rsidR="00C92D47" w:rsidRPr="00E74CF0" w:rsidRDefault="00C92D47" w:rsidP="00E74CF0">
      <w:pPr>
        <w:jc w:val="right"/>
        <w:rPr>
          <w:rFonts w:ascii="Times New Roman" w:hAnsi="Times New Roman" w:cs="Times New Roman"/>
          <w:sz w:val="24"/>
          <w:szCs w:val="24"/>
        </w:rPr>
      </w:pPr>
    </w:p>
    <w:p w:rsidR="00C92D47" w:rsidRPr="00967592" w:rsidRDefault="00C92D47" w:rsidP="00C92D47">
      <w:pPr>
        <w:pStyle w:val="Heading4"/>
        <w:spacing w:before="80" w:after="0" w:line="360" w:lineRule="auto"/>
        <w:ind w:left="720" w:hanging="720"/>
        <w:rPr>
          <w:b w:val="0"/>
          <w:sz w:val="24"/>
          <w:szCs w:val="24"/>
          <w:lang w:val="en-GB"/>
        </w:rPr>
      </w:pPr>
      <w:r w:rsidRPr="00967592">
        <w:rPr>
          <w:b w:val="0"/>
          <w:sz w:val="24"/>
          <w:szCs w:val="24"/>
          <w:lang w:val="en-GB"/>
        </w:rPr>
        <w:t xml:space="preserve">Watson, A. </w:t>
      </w:r>
      <w:r w:rsidRPr="00967592">
        <w:rPr>
          <w:b w:val="0"/>
          <w:sz w:val="24"/>
          <w:szCs w:val="24"/>
        </w:rPr>
        <w:t xml:space="preserve">(2004) Affordances, constraints and attunements in mathematical activity. In O. McNamara and R. </w:t>
      </w:r>
      <w:proofErr w:type="spellStart"/>
      <w:r w:rsidRPr="00967592">
        <w:rPr>
          <w:b w:val="0"/>
          <w:sz w:val="24"/>
          <w:szCs w:val="24"/>
        </w:rPr>
        <w:t>Barwell</w:t>
      </w:r>
      <w:proofErr w:type="spellEnd"/>
      <w:r w:rsidRPr="00967592">
        <w:rPr>
          <w:b w:val="0"/>
          <w:sz w:val="24"/>
          <w:szCs w:val="24"/>
        </w:rPr>
        <w:t xml:space="preserve"> (eds.) </w:t>
      </w:r>
      <w:r w:rsidRPr="001822FE">
        <w:rPr>
          <w:b w:val="0"/>
          <w:i/>
          <w:sz w:val="24"/>
          <w:szCs w:val="24"/>
        </w:rPr>
        <w:t>Research in Mathematics Education, vo</w:t>
      </w:r>
      <w:r w:rsidR="001822FE">
        <w:rPr>
          <w:b w:val="0"/>
          <w:i/>
          <w:sz w:val="24"/>
          <w:szCs w:val="24"/>
        </w:rPr>
        <w:t>l.</w:t>
      </w:r>
      <w:r w:rsidRPr="001822FE">
        <w:rPr>
          <w:b w:val="0"/>
          <w:i/>
          <w:sz w:val="24"/>
          <w:szCs w:val="24"/>
        </w:rPr>
        <w:t xml:space="preserve"> 6: Papers of the British Society for Research into Learning Mathematics </w:t>
      </w:r>
      <w:r w:rsidR="00DA49FB">
        <w:rPr>
          <w:b w:val="0"/>
          <w:sz w:val="24"/>
          <w:szCs w:val="24"/>
        </w:rPr>
        <w:t xml:space="preserve">pp. 23-34, </w:t>
      </w:r>
      <w:smartTag w:uri="urn:schemas-microsoft-com:office:smarttags" w:element="City">
        <w:smartTag w:uri="urn:schemas-microsoft-com:office:smarttags" w:element="place">
          <w:r w:rsidR="00DA49FB">
            <w:rPr>
              <w:b w:val="0"/>
              <w:sz w:val="24"/>
              <w:szCs w:val="24"/>
            </w:rPr>
            <w:t>London</w:t>
          </w:r>
        </w:smartTag>
      </w:smartTag>
      <w:r w:rsidR="00DA49FB">
        <w:rPr>
          <w:b w:val="0"/>
          <w:sz w:val="24"/>
          <w:szCs w:val="24"/>
        </w:rPr>
        <w:t>: BSRLM</w:t>
      </w:r>
    </w:p>
    <w:p w:rsidR="00C92D47" w:rsidRPr="00967592" w:rsidRDefault="00C92D47" w:rsidP="00C92D47">
      <w:pPr>
        <w:autoSpaceDE w:val="0"/>
        <w:autoSpaceDN w:val="0"/>
        <w:adjustRightInd w:val="0"/>
        <w:spacing w:before="80" w:line="360" w:lineRule="auto"/>
        <w:ind w:left="720" w:hanging="720"/>
        <w:rPr>
          <w:rFonts w:ascii="Times New Roman" w:hAnsi="Times New Roman" w:cs="Times New Roman"/>
          <w:sz w:val="24"/>
          <w:szCs w:val="24"/>
        </w:rPr>
      </w:pPr>
      <w:r w:rsidRPr="00967592">
        <w:rPr>
          <w:rFonts w:ascii="Times New Roman" w:hAnsi="Times New Roman" w:cs="Times New Roman"/>
          <w:sz w:val="24"/>
          <w:szCs w:val="24"/>
        </w:rPr>
        <w:t>Watson, A. (</w:t>
      </w:r>
      <w:r w:rsidR="001822FE">
        <w:rPr>
          <w:rFonts w:ascii="Times New Roman" w:hAnsi="Times New Roman" w:cs="Times New Roman"/>
          <w:sz w:val="24"/>
          <w:szCs w:val="24"/>
        </w:rPr>
        <w:t>2007</w:t>
      </w:r>
      <w:r w:rsidRPr="00967592">
        <w:rPr>
          <w:rFonts w:ascii="Times New Roman" w:hAnsi="Times New Roman" w:cs="Times New Roman"/>
          <w:sz w:val="24"/>
          <w:szCs w:val="24"/>
        </w:rPr>
        <w:t xml:space="preserve">) The nature of participation afforded by tasks, questions and prompts in mathematics classrooms. </w:t>
      </w:r>
      <w:r w:rsidR="00DA49FB">
        <w:rPr>
          <w:rFonts w:ascii="Times New Roman" w:hAnsi="Times New Roman" w:cs="Times New Roman"/>
          <w:sz w:val="24"/>
          <w:szCs w:val="24"/>
        </w:rPr>
        <w:t xml:space="preserve">In </w:t>
      </w:r>
      <w:proofErr w:type="spellStart"/>
      <w:r w:rsidR="00DA49FB">
        <w:rPr>
          <w:rFonts w:ascii="Times New Roman" w:hAnsi="Times New Roman" w:cs="Times New Roman"/>
          <w:sz w:val="24"/>
          <w:szCs w:val="24"/>
        </w:rPr>
        <w:t>L.Bills</w:t>
      </w:r>
      <w:proofErr w:type="spellEnd"/>
      <w:r w:rsidR="00DA49FB">
        <w:rPr>
          <w:rFonts w:ascii="Times New Roman" w:hAnsi="Times New Roman" w:cs="Times New Roman"/>
          <w:sz w:val="24"/>
          <w:szCs w:val="24"/>
        </w:rPr>
        <w:t xml:space="preserve">, J. Hodgen &amp; H. </w:t>
      </w:r>
      <w:proofErr w:type="spellStart"/>
      <w:r w:rsidR="00DA49FB">
        <w:rPr>
          <w:rFonts w:ascii="Times New Roman" w:hAnsi="Times New Roman" w:cs="Times New Roman"/>
          <w:sz w:val="24"/>
          <w:szCs w:val="24"/>
        </w:rPr>
        <w:t>Povey</w:t>
      </w:r>
      <w:proofErr w:type="spellEnd"/>
      <w:r w:rsidR="00DA49FB">
        <w:rPr>
          <w:rFonts w:ascii="Times New Roman" w:hAnsi="Times New Roman" w:cs="Times New Roman"/>
          <w:sz w:val="24"/>
          <w:szCs w:val="24"/>
        </w:rPr>
        <w:t xml:space="preserve"> (Eds.) </w:t>
      </w:r>
      <w:r w:rsidR="001822FE" w:rsidRPr="001822FE">
        <w:rPr>
          <w:rStyle w:val="Emphasis"/>
          <w:rFonts w:ascii="Times New Roman" w:hAnsi="Times New Roman"/>
          <w:iCs w:val="0"/>
          <w:sz w:val="24"/>
        </w:rPr>
        <w:t>Research in Mathematics Education, vol.</w:t>
      </w:r>
      <w:r w:rsidR="001822FE">
        <w:rPr>
          <w:rStyle w:val="Emphasis"/>
          <w:rFonts w:ascii="Times New Roman" w:hAnsi="Times New Roman"/>
          <w:iCs w:val="0"/>
          <w:sz w:val="24"/>
        </w:rPr>
        <w:t xml:space="preserve"> 9</w:t>
      </w:r>
      <w:r w:rsidR="001822FE" w:rsidRPr="001822FE">
        <w:rPr>
          <w:rStyle w:val="Emphasis"/>
          <w:rFonts w:ascii="Times New Roman" w:hAnsi="Times New Roman"/>
          <w:iCs w:val="0"/>
          <w:sz w:val="24"/>
        </w:rPr>
        <w:t>: Papers of the British Society for Research into Learning Mathematics</w:t>
      </w:r>
      <w:r w:rsidR="00DA49FB">
        <w:rPr>
          <w:b/>
          <w:i/>
          <w:sz w:val="24"/>
          <w:szCs w:val="24"/>
        </w:rPr>
        <w:t xml:space="preserve">, </w:t>
      </w:r>
      <w:r w:rsidR="00DA49FB" w:rsidRPr="00DA49FB">
        <w:rPr>
          <w:rFonts w:ascii="Times New Roman" w:hAnsi="Times New Roman" w:cs="Times New Roman"/>
          <w:sz w:val="24"/>
          <w:szCs w:val="24"/>
        </w:rPr>
        <w:t>pp. 111-126,</w:t>
      </w:r>
      <w:r w:rsidR="00DA49FB">
        <w:rPr>
          <w:b/>
          <w:i/>
          <w:sz w:val="24"/>
          <w:szCs w:val="24"/>
        </w:rPr>
        <w:t xml:space="preserve"> </w:t>
      </w:r>
      <w:smartTag w:uri="urn:schemas-microsoft-com:office:smarttags" w:element="place">
        <w:smartTag w:uri="urn:schemas-microsoft-com:office:smarttags" w:element="City">
          <w:r w:rsidR="00DA49FB" w:rsidRPr="00DA49FB">
            <w:rPr>
              <w:rFonts w:ascii="Times New Roman" w:hAnsi="Times New Roman" w:cs="Times New Roman"/>
              <w:sz w:val="24"/>
              <w:szCs w:val="24"/>
            </w:rPr>
            <w:t>London</w:t>
          </w:r>
        </w:smartTag>
      </w:smartTag>
      <w:r w:rsidR="00DA49FB" w:rsidRPr="00DA49FB">
        <w:rPr>
          <w:rFonts w:ascii="Times New Roman" w:hAnsi="Times New Roman" w:cs="Times New Roman"/>
          <w:sz w:val="24"/>
          <w:szCs w:val="24"/>
        </w:rPr>
        <w:t>:</w:t>
      </w:r>
      <w:r w:rsidR="00DA49FB">
        <w:rPr>
          <w:rFonts w:ascii="Times New Roman" w:hAnsi="Times New Roman" w:cs="Times New Roman"/>
          <w:sz w:val="24"/>
          <w:szCs w:val="24"/>
        </w:rPr>
        <w:t xml:space="preserve"> </w:t>
      </w:r>
      <w:r w:rsidR="00DA49FB" w:rsidRPr="00DA49FB">
        <w:rPr>
          <w:rFonts w:ascii="Times New Roman" w:hAnsi="Times New Roman" w:cs="Times New Roman"/>
          <w:sz w:val="24"/>
          <w:szCs w:val="24"/>
        </w:rPr>
        <w:t>BSRLM</w:t>
      </w:r>
    </w:p>
    <w:p w:rsidR="00C92D47" w:rsidRPr="00967592" w:rsidRDefault="00251E95" w:rsidP="00C92D47">
      <w:pPr>
        <w:spacing w:before="8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Watson, A.&amp; Mason, J. </w:t>
      </w:r>
      <w:r w:rsidR="00C92D47" w:rsidRPr="00967592">
        <w:rPr>
          <w:rFonts w:ascii="Times New Roman" w:hAnsi="Times New Roman" w:cs="Times New Roman"/>
          <w:sz w:val="24"/>
          <w:szCs w:val="24"/>
        </w:rPr>
        <w:t>(1998)</w:t>
      </w:r>
      <w:r w:rsidR="00C92D47" w:rsidRPr="00967592">
        <w:rPr>
          <w:rFonts w:ascii="Times New Roman" w:hAnsi="Times New Roman" w:cs="Times New Roman"/>
          <w:i/>
          <w:sz w:val="24"/>
          <w:szCs w:val="24"/>
        </w:rPr>
        <w:t xml:space="preserve"> Questions and prompts for mathematical thinking</w:t>
      </w:r>
      <w:r w:rsidR="00C92D47" w:rsidRPr="00967592">
        <w:rPr>
          <w:rFonts w:ascii="Times New Roman" w:hAnsi="Times New Roman" w:cs="Times New Roman"/>
          <w:sz w:val="24"/>
          <w:szCs w:val="24"/>
        </w:rPr>
        <w:t xml:space="preserve">.  </w:t>
      </w:r>
      <w:smartTag w:uri="urn:schemas-microsoft-com:office:smarttags" w:element="City">
        <w:smartTag w:uri="urn:schemas-microsoft-com:office:smarttags" w:element="place">
          <w:r w:rsidR="00C92D47" w:rsidRPr="00967592">
            <w:rPr>
              <w:rFonts w:ascii="Times New Roman" w:hAnsi="Times New Roman" w:cs="Times New Roman"/>
              <w:sz w:val="24"/>
              <w:szCs w:val="24"/>
            </w:rPr>
            <w:t>Derby</w:t>
          </w:r>
        </w:smartTag>
      </w:smartTag>
      <w:r w:rsidR="00C92D47" w:rsidRPr="00967592">
        <w:rPr>
          <w:rFonts w:ascii="Times New Roman" w:hAnsi="Times New Roman" w:cs="Times New Roman"/>
          <w:sz w:val="24"/>
          <w:szCs w:val="24"/>
        </w:rPr>
        <w:t>: ATM.</w:t>
      </w:r>
    </w:p>
    <w:p w:rsidR="00C92D47" w:rsidRPr="00967592" w:rsidRDefault="00C92D47" w:rsidP="00C92D47">
      <w:pPr>
        <w:pStyle w:val="Heading4"/>
        <w:spacing w:before="80" w:after="0" w:line="360" w:lineRule="auto"/>
        <w:ind w:left="720" w:hanging="720"/>
        <w:rPr>
          <w:b w:val="0"/>
          <w:sz w:val="24"/>
          <w:szCs w:val="24"/>
        </w:rPr>
      </w:pPr>
      <w:proofErr w:type="spellStart"/>
      <w:r w:rsidRPr="00967592">
        <w:rPr>
          <w:b w:val="0"/>
          <w:bCs w:val="0"/>
          <w:sz w:val="24"/>
          <w:szCs w:val="24"/>
        </w:rPr>
        <w:t>Wittmann</w:t>
      </w:r>
      <w:proofErr w:type="spellEnd"/>
      <w:r w:rsidRPr="00967592">
        <w:rPr>
          <w:b w:val="0"/>
          <w:sz w:val="24"/>
          <w:szCs w:val="24"/>
        </w:rPr>
        <w:t xml:space="preserve">, E. (1998) Mathematics education as a </w:t>
      </w:r>
      <w:r w:rsidR="001822FE">
        <w:rPr>
          <w:b w:val="0"/>
          <w:sz w:val="24"/>
          <w:szCs w:val="24"/>
        </w:rPr>
        <w:t>“</w:t>
      </w:r>
      <w:r w:rsidRPr="00967592">
        <w:rPr>
          <w:b w:val="0"/>
          <w:sz w:val="24"/>
          <w:szCs w:val="24"/>
        </w:rPr>
        <w:t>design science</w:t>
      </w:r>
      <w:r w:rsidR="001822FE">
        <w:rPr>
          <w:rFonts w:ascii="Lucida Sans Unicode" w:hAnsi="Lucida Sans Unicode"/>
          <w:b w:val="0"/>
          <w:sz w:val="24"/>
          <w:szCs w:val="24"/>
        </w:rPr>
        <w:t>”</w:t>
      </w:r>
      <w:r w:rsidRPr="00967592">
        <w:rPr>
          <w:b w:val="0"/>
          <w:sz w:val="24"/>
          <w:szCs w:val="24"/>
        </w:rPr>
        <w:t xml:space="preserve">. In A. </w:t>
      </w:r>
      <w:proofErr w:type="spellStart"/>
      <w:r w:rsidRPr="00967592">
        <w:rPr>
          <w:b w:val="0"/>
          <w:sz w:val="24"/>
          <w:szCs w:val="24"/>
        </w:rPr>
        <w:t>Sierpinska</w:t>
      </w:r>
      <w:proofErr w:type="spellEnd"/>
      <w:r w:rsidRPr="00967592">
        <w:rPr>
          <w:b w:val="0"/>
          <w:sz w:val="24"/>
          <w:szCs w:val="24"/>
        </w:rPr>
        <w:t xml:space="preserve"> &amp; J. Kilpatrick (</w:t>
      </w:r>
      <w:proofErr w:type="spellStart"/>
      <w:r w:rsidRPr="00967592">
        <w:rPr>
          <w:b w:val="0"/>
          <w:sz w:val="24"/>
          <w:szCs w:val="24"/>
        </w:rPr>
        <w:t>Eds</w:t>
      </w:r>
      <w:proofErr w:type="spellEnd"/>
      <w:r w:rsidRPr="00967592">
        <w:rPr>
          <w:b w:val="0"/>
          <w:sz w:val="24"/>
          <w:szCs w:val="24"/>
        </w:rPr>
        <w:t xml:space="preserve">,), </w:t>
      </w:r>
      <w:r w:rsidRPr="00251E95">
        <w:rPr>
          <w:b w:val="0"/>
          <w:i/>
          <w:sz w:val="24"/>
          <w:szCs w:val="24"/>
        </w:rPr>
        <w:t>Mathematics education as a research domain: a search for identity</w:t>
      </w:r>
      <w:r w:rsidR="00251E95">
        <w:rPr>
          <w:b w:val="0"/>
          <w:sz w:val="24"/>
          <w:szCs w:val="24"/>
        </w:rPr>
        <w:t>. An ICMI study. Book 1, pp. 87–103</w:t>
      </w:r>
      <w:r w:rsidRPr="00967592">
        <w:rPr>
          <w:b w:val="0"/>
          <w:sz w:val="24"/>
          <w:szCs w:val="24"/>
        </w:rPr>
        <w:t xml:space="preserve">. </w:t>
      </w:r>
      <w:smartTag w:uri="urn:schemas-microsoft-com:office:smarttags" w:element="City">
        <w:smartTag w:uri="urn:schemas-microsoft-com:office:smarttags" w:element="place">
          <w:r w:rsidRPr="00967592">
            <w:rPr>
              <w:b w:val="0"/>
              <w:sz w:val="24"/>
              <w:szCs w:val="24"/>
            </w:rPr>
            <w:t>Dordrecht</w:t>
          </w:r>
        </w:smartTag>
      </w:smartTag>
      <w:r w:rsidRPr="00967592">
        <w:rPr>
          <w:b w:val="0"/>
          <w:sz w:val="24"/>
          <w:szCs w:val="24"/>
        </w:rPr>
        <w:t xml:space="preserve">: </w:t>
      </w:r>
      <w:proofErr w:type="spellStart"/>
      <w:r w:rsidRPr="00967592">
        <w:rPr>
          <w:b w:val="0"/>
          <w:sz w:val="24"/>
          <w:szCs w:val="24"/>
        </w:rPr>
        <w:t>Kluwer</w:t>
      </w:r>
      <w:proofErr w:type="spellEnd"/>
      <w:r w:rsidRPr="00967592">
        <w:rPr>
          <w:b w:val="0"/>
          <w:sz w:val="24"/>
          <w:szCs w:val="24"/>
        </w:rPr>
        <w:t xml:space="preserve"> Academic Publishers.</w:t>
      </w:r>
    </w:p>
    <w:p w:rsidR="0045291C" w:rsidRPr="00C92D47" w:rsidRDefault="0045291C" w:rsidP="00C92D47">
      <w:pPr>
        <w:spacing w:before="80" w:line="360" w:lineRule="auto"/>
        <w:ind w:left="720" w:hanging="720"/>
        <w:rPr>
          <w:sz w:val="24"/>
          <w:szCs w:val="24"/>
        </w:rPr>
      </w:pPr>
    </w:p>
    <w:sectPr w:rsidR="0045291C" w:rsidRPr="00C92D47" w:rsidSect="00C247D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6C" w:rsidRDefault="00414E6C">
      <w:r>
        <w:separator/>
      </w:r>
    </w:p>
  </w:endnote>
  <w:endnote w:type="continuationSeparator" w:id="0">
    <w:p w:rsidR="00414E6C" w:rsidRDefault="00414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6C" w:rsidRDefault="00414E6C">
      <w:r>
        <w:separator/>
      </w:r>
    </w:p>
  </w:footnote>
  <w:footnote w:type="continuationSeparator" w:id="0">
    <w:p w:rsidR="00414E6C" w:rsidRDefault="00414E6C">
      <w:r>
        <w:continuationSeparator/>
      </w:r>
    </w:p>
  </w:footnote>
  <w:footnote w:id="1">
    <w:p w:rsidR="00DA49FB" w:rsidRPr="00967592" w:rsidRDefault="00DA49FB">
      <w:pPr>
        <w:pStyle w:val="FootnoteText"/>
        <w:rPr>
          <w:lang w:val="en-GB"/>
        </w:rPr>
      </w:pPr>
      <w:r>
        <w:rPr>
          <w:rStyle w:val="FootnoteReference"/>
        </w:rPr>
        <w:footnoteRef/>
      </w:r>
      <w:r>
        <w:t xml:space="preserve"> </w:t>
      </w:r>
      <w:r>
        <w:rPr>
          <w:lang w:val="en-GB"/>
        </w:rPr>
        <w:t xml:space="preserve">The data on which this analysis is based was collected by my colleague Els De Geest during work on a joint project funded by </w:t>
      </w:r>
      <w:proofErr w:type="spellStart"/>
      <w:r>
        <w:rPr>
          <w:lang w:val="en-GB"/>
        </w:rPr>
        <w:t>Esmee</w:t>
      </w:r>
      <w:proofErr w:type="spellEnd"/>
      <w:r>
        <w:rPr>
          <w:lang w:val="en-GB"/>
        </w:rPr>
        <w:t xml:space="preserve"> Fairbairn Foundation (05-1638); the analysis is my own responsibility and the school context is disguised.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4C"/>
    <w:multiLevelType w:val="hybridMultilevel"/>
    <w:tmpl w:val="4BBA7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5F340E"/>
    <w:multiLevelType w:val="hybridMultilevel"/>
    <w:tmpl w:val="7EE0F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FA0133"/>
    <w:multiLevelType w:val="hybridMultilevel"/>
    <w:tmpl w:val="7C3E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9D615F"/>
    <w:rsid w:val="0001009C"/>
    <w:rsid w:val="00017599"/>
    <w:rsid w:val="00025950"/>
    <w:rsid w:val="000A0D19"/>
    <w:rsid w:val="000B7CCA"/>
    <w:rsid w:val="000F2E81"/>
    <w:rsid w:val="001127B1"/>
    <w:rsid w:val="0014235A"/>
    <w:rsid w:val="001822FE"/>
    <w:rsid w:val="001B7AEE"/>
    <w:rsid w:val="00225138"/>
    <w:rsid w:val="0023146D"/>
    <w:rsid w:val="00251E95"/>
    <w:rsid w:val="002C7BD0"/>
    <w:rsid w:val="002F38B7"/>
    <w:rsid w:val="00331C20"/>
    <w:rsid w:val="003331E0"/>
    <w:rsid w:val="00395190"/>
    <w:rsid w:val="00396A4D"/>
    <w:rsid w:val="003C1528"/>
    <w:rsid w:val="003C3D35"/>
    <w:rsid w:val="003C6D40"/>
    <w:rsid w:val="00414E6C"/>
    <w:rsid w:val="004448F6"/>
    <w:rsid w:val="0045291C"/>
    <w:rsid w:val="00497405"/>
    <w:rsid w:val="00514208"/>
    <w:rsid w:val="00550B6D"/>
    <w:rsid w:val="00630323"/>
    <w:rsid w:val="0064255C"/>
    <w:rsid w:val="006429FF"/>
    <w:rsid w:val="00654F9E"/>
    <w:rsid w:val="00665075"/>
    <w:rsid w:val="0069166A"/>
    <w:rsid w:val="007277BA"/>
    <w:rsid w:val="00784167"/>
    <w:rsid w:val="007D7F2B"/>
    <w:rsid w:val="007F3AC3"/>
    <w:rsid w:val="00802F7A"/>
    <w:rsid w:val="00805651"/>
    <w:rsid w:val="008E171F"/>
    <w:rsid w:val="00916C87"/>
    <w:rsid w:val="0093498E"/>
    <w:rsid w:val="00967592"/>
    <w:rsid w:val="00972C00"/>
    <w:rsid w:val="00980275"/>
    <w:rsid w:val="009D1788"/>
    <w:rsid w:val="009D615F"/>
    <w:rsid w:val="00A12572"/>
    <w:rsid w:val="00A279A7"/>
    <w:rsid w:val="00AF3D93"/>
    <w:rsid w:val="00B00675"/>
    <w:rsid w:val="00B43425"/>
    <w:rsid w:val="00B45692"/>
    <w:rsid w:val="00B67183"/>
    <w:rsid w:val="00C21C19"/>
    <w:rsid w:val="00C247DB"/>
    <w:rsid w:val="00C628B6"/>
    <w:rsid w:val="00C75850"/>
    <w:rsid w:val="00C927AA"/>
    <w:rsid w:val="00C92D47"/>
    <w:rsid w:val="00CA631A"/>
    <w:rsid w:val="00CC14DD"/>
    <w:rsid w:val="00CF1D24"/>
    <w:rsid w:val="00CF458B"/>
    <w:rsid w:val="00D06326"/>
    <w:rsid w:val="00D54AC2"/>
    <w:rsid w:val="00D63C2E"/>
    <w:rsid w:val="00D976FD"/>
    <w:rsid w:val="00DA49FB"/>
    <w:rsid w:val="00E16107"/>
    <w:rsid w:val="00E2473C"/>
    <w:rsid w:val="00E74CF0"/>
    <w:rsid w:val="00E922F0"/>
    <w:rsid w:val="00EB03A4"/>
    <w:rsid w:val="00EE4416"/>
    <w:rsid w:val="00F13169"/>
    <w:rsid w:val="00F7376E"/>
    <w:rsid w:val="00F75CB0"/>
    <w:rsid w:val="00FB6320"/>
    <w:rsid w:val="00FD69D0"/>
    <w:rsid w:val="00FE5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7DB"/>
    <w:rPr>
      <w:rFonts w:ascii="Arial" w:hAnsi="Arial" w:cs="Arial"/>
      <w:sz w:val="22"/>
      <w:szCs w:val="22"/>
      <w:lang w:val="en-US" w:eastAsia="en-US"/>
    </w:rPr>
  </w:style>
  <w:style w:type="paragraph" w:styleId="Heading1">
    <w:name w:val="heading 1"/>
    <w:basedOn w:val="Normal"/>
    <w:next w:val="Normal"/>
    <w:qFormat/>
    <w:rsid w:val="002F38B7"/>
    <w:pPr>
      <w:keepNext/>
      <w:spacing w:before="240" w:after="60"/>
      <w:outlineLvl w:val="0"/>
    </w:pPr>
    <w:rPr>
      <w:b/>
      <w:bCs/>
      <w:kern w:val="32"/>
      <w:sz w:val="32"/>
      <w:szCs w:val="32"/>
    </w:rPr>
  </w:style>
  <w:style w:type="paragraph" w:styleId="Heading2">
    <w:name w:val="heading 2"/>
    <w:basedOn w:val="Normal"/>
    <w:next w:val="Normal"/>
    <w:qFormat/>
    <w:rsid w:val="009D615F"/>
    <w:pPr>
      <w:keepNext/>
      <w:spacing w:before="240" w:after="60"/>
      <w:outlineLvl w:val="1"/>
    </w:pPr>
    <w:rPr>
      <w:b/>
      <w:bCs/>
      <w:i/>
      <w:iCs/>
      <w:sz w:val="28"/>
      <w:szCs w:val="28"/>
    </w:rPr>
  </w:style>
  <w:style w:type="paragraph" w:styleId="Heading3">
    <w:name w:val="heading 3"/>
    <w:basedOn w:val="Normal"/>
    <w:next w:val="Normal"/>
    <w:qFormat/>
    <w:rsid w:val="009D615F"/>
    <w:pPr>
      <w:keepNext/>
      <w:spacing w:before="240" w:after="60"/>
      <w:outlineLvl w:val="2"/>
    </w:pPr>
    <w:rPr>
      <w:b/>
      <w:bCs/>
      <w:sz w:val="26"/>
      <w:szCs w:val="26"/>
    </w:rPr>
  </w:style>
  <w:style w:type="paragraph" w:styleId="Heading4">
    <w:name w:val="heading 4"/>
    <w:basedOn w:val="Normal"/>
    <w:next w:val="Normal"/>
    <w:qFormat/>
    <w:rsid w:val="009D615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1127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F3D93"/>
    <w:rPr>
      <w:sz w:val="20"/>
      <w:szCs w:val="20"/>
    </w:rPr>
  </w:style>
  <w:style w:type="character" w:styleId="FootnoteReference">
    <w:name w:val="footnote reference"/>
    <w:basedOn w:val="DefaultParagraphFont"/>
    <w:semiHidden/>
    <w:rsid w:val="00AF3D93"/>
    <w:rPr>
      <w:vertAlign w:val="superscript"/>
    </w:rPr>
  </w:style>
  <w:style w:type="paragraph" w:styleId="NormalWeb">
    <w:name w:val="Normal (Web)"/>
    <w:basedOn w:val="Normal"/>
    <w:rsid w:val="0014235A"/>
    <w:pPr>
      <w:spacing w:before="100" w:beforeAutospacing="1" w:after="100" w:afterAutospacing="1"/>
    </w:pPr>
    <w:rPr>
      <w:rFonts w:ascii="Times New Roman" w:hAnsi="Times New Roman" w:cs="Times New Roman"/>
      <w:color w:val="000000"/>
      <w:sz w:val="24"/>
      <w:szCs w:val="24"/>
    </w:rPr>
  </w:style>
  <w:style w:type="character" w:styleId="Hyperlink">
    <w:name w:val="Hyperlink"/>
    <w:basedOn w:val="DefaultParagraphFont"/>
    <w:rsid w:val="0014235A"/>
    <w:rPr>
      <w:strike w:val="0"/>
      <w:dstrike w:val="0"/>
      <w:color w:val="5A597B"/>
      <w:sz w:val="24"/>
      <w:szCs w:val="24"/>
      <w:u w:val="none"/>
      <w:effect w:val="none"/>
    </w:rPr>
  </w:style>
  <w:style w:type="character" w:customStyle="1" w:styleId="termhighlight">
    <w:name w:val="termhighlight"/>
    <w:basedOn w:val="DefaultParagraphFont"/>
    <w:rsid w:val="00E16107"/>
  </w:style>
  <w:style w:type="character" w:styleId="Strong">
    <w:name w:val="Strong"/>
    <w:basedOn w:val="DefaultParagraphFont"/>
    <w:qFormat/>
    <w:rsid w:val="00E16107"/>
    <w:rPr>
      <w:b/>
      <w:bCs/>
    </w:rPr>
  </w:style>
  <w:style w:type="character" w:styleId="Emphasis">
    <w:name w:val="Emphasis"/>
    <w:basedOn w:val="DefaultParagraphFont"/>
    <w:qFormat/>
    <w:rsid w:val="00E16107"/>
    <w:rPr>
      <w:i/>
      <w:iCs/>
    </w:rPr>
  </w:style>
  <w:style w:type="paragraph" w:styleId="HTMLPreformatted">
    <w:name w:val="HTML Preformatted"/>
    <w:basedOn w:val="Normal"/>
    <w:rsid w:val="0080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805651"/>
    <w:pPr>
      <w:spacing w:line="360" w:lineRule="auto"/>
      <w:jc w:val="both"/>
    </w:pPr>
    <w:rPr>
      <w:rFonts w:ascii="Times New Roman" w:eastAsia="SimSun" w:hAnsi="Times New Roman" w:cs="Times New Roman"/>
      <w:b/>
      <w:sz w:val="36"/>
      <w:szCs w:val="24"/>
      <w:lang w:val="en-GB" w:eastAsia="zh-CN"/>
    </w:rPr>
  </w:style>
  <w:style w:type="paragraph" w:styleId="BalloonText">
    <w:name w:val="Balloon Text"/>
    <w:basedOn w:val="Normal"/>
    <w:semiHidden/>
    <w:rsid w:val="00630323"/>
    <w:rPr>
      <w:rFonts w:ascii="Tahoma" w:hAnsi="Tahoma" w:cs="Tahoma"/>
      <w:sz w:val="16"/>
      <w:szCs w:val="16"/>
    </w:rPr>
  </w:style>
  <w:style w:type="character" w:customStyle="1" w:styleId="referer1">
    <w:name w:val="referer1"/>
    <w:basedOn w:val="DefaultParagraphFont"/>
    <w:rsid w:val="00331C20"/>
    <w:rPr>
      <w:shd w:val="clear" w:color="auto" w:fill="EEEEEE"/>
    </w:rPr>
  </w:style>
</w:styles>
</file>

<file path=word/webSettings.xml><?xml version="1.0" encoding="utf-8"?>
<w:webSettings xmlns:r="http://schemas.openxmlformats.org/officeDocument/2006/relationships" xmlns:w="http://schemas.openxmlformats.org/wordprocessingml/2006/main">
  <w:divs>
    <w:div w:id="896357598">
      <w:bodyDiv w:val="1"/>
      <w:marLeft w:val="0"/>
      <w:marRight w:val="0"/>
      <w:marTop w:val="0"/>
      <w:marBottom w:val="0"/>
      <w:divBdr>
        <w:top w:val="none" w:sz="0" w:space="0" w:color="auto"/>
        <w:left w:val="none" w:sz="0" w:space="0" w:color="auto"/>
        <w:bottom w:val="none" w:sz="0" w:space="0" w:color="auto"/>
        <w:right w:val="none" w:sz="0" w:space="0" w:color="auto"/>
      </w:divBdr>
      <w:divsChild>
        <w:div w:id="873467219">
          <w:marLeft w:val="0"/>
          <w:marRight w:val="0"/>
          <w:marTop w:val="0"/>
          <w:marBottom w:val="0"/>
          <w:divBdr>
            <w:top w:val="none" w:sz="0" w:space="0" w:color="auto"/>
            <w:left w:val="none" w:sz="0" w:space="0" w:color="auto"/>
            <w:bottom w:val="none" w:sz="0" w:space="0" w:color="auto"/>
            <w:right w:val="none" w:sz="0" w:space="0" w:color="auto"/>
          </w:divBdr>
        </w:div>
      </w:divsChild>
    </w:div>
    <w:div w:id="1261336247">
      <w:bodyDiv w:val="1"/>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
      </w:divsChild>
    </w:div>
    <w:div w:id="1535583621">
      <w:bodyDiv w:val="1"/>
      <w:marLeft w:val="0"/>
      <w:marRight w:val="0"/>
      <w:marTop w:val="0"/>
      <w:marBottom w:val="0"/>
      <w:divBdr>
        <w:top w:val="none" w:sz="0" w:space="0" w:color="auto"/>
        <w:left w:val="none" w:sz="0" w:space="0" w:color="auto"/>
        <w:bottom w:val="none" w:sz="0" w:space="0" w:color="auto"/>
        <w:right w:val="none" w:sz="0" w:space="0" w:color="auto"/>
      </w:divBdr>
      <w:divsChild>
        <w:div w:id="90249777">
          <w:marLeft w:val="0"/>
          <w:marRight w:val="0"/>
          <w:marTop w:val="0"/>
          <w:marBottom w:val="0"/>
          <w:divBdr>
            <w:top w:val="none" w:sz="0" w:space="0" w:color="auto"/>
            <w:left w:val="none" w:sz="0" w:space="0" w:color="auto"/>
            <w:bottom w:val="none" w:sz="0" w:space="0" w:color="auto"/>
            <w:right w:val="none" w:sz="0" w:space="0" w:color="auto"/>
          </w:divBdr>
          <w:divsChild>
            <w:div w:id="304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ringerlink.com/content/j54108/?p=4e11ee7aecdf45e9a4e5c567b1048def&amp;p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MADIF</vt:lpstr>
    </vt:vector>
  </TitlesOfParts>
  <Company>Microsoft</Company>
  <LinksUpToDate>false</LinksUpToDate>
  <CharactersWithSpaces>24763</CharactersWithSpaces>
  <SharedDoc>false</SharedDoc>
  <HLinks>
    <vt:vector size="6" baseType="variant">
      <vt:variant>
        <vt:i4>3735659</vt:i4>
      </vt:variant>
      <vt:variant>
        <vt:i4>0</vt:i4>
      </vt:variant>
      <vt:variant>
        <vt:i4>0</vt:i4>
      </vt:variant>
      <vt:variant>
        <vt:i4>5</vt:i4>
      </vt:variant>
      <vt:variant>
        <vt:lpwstr>http://www.springerlink.com/content/j54108/?p=4e11ee7aecdf45e9a4e5c567b1048def&amp;pi=0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dc:title>
  <dc:creator>AW</dc:creator>
  <cp:lastModifiedBy>Anne Watson</cp:lastModifiedBy>
  <cp:revision>2</cp:revision>
  <dcterms:created xsi:type="dcterms:W3CDTF">2015-12-04T07:30:00Z</dcterms:created>
  <dcterms:modified xsi:type="dcterms:W3CDTF">2015-12-04T07:30:00Z</dcterms:modified>
</cp:coreProperties>
</file>